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976"/>
      </w:tblGrid>
      <w:tr w:rsidR="005C2EC8" w:rsidRPr="00AB3E99" w14:paraId="33102BCE" w14:textId="77777777" w:rsidTr="00231BE9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2938E7E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02D73F9B" w:rsidR="005C2EC8" w:rsidRPr="005C2EC8" w:rsidRDefault="063FF629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064ED6">
              <w:rPr>
                <w:rFonts w:asciiTheme="minorHAnsi" w:hAnsiTheme="minorHAnsi" w:cstheme="minorBidi"/>
                <w:b/>
                <w:bCs/>
                <w:color w:val="21517E"/>
              </w:rPr>
              <w:t>23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DD0166">
              <w:rPr>
                <w:rFonts w:asciiTheme="minorHAnsi" w:hAnsiTheme="minorHAnsi" w:cstheme="minorBidi"/>
                <w:b/>
                <w:bCs/>
                <w:color w:val="21517E"/>
              </w:rPr>
              <w:t>1</w:t>
            </w:r>
            <w:r w:rsidR="00064ED6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73706F1A" w:rsidR="005C2EC8" w:rsidRPr="00AB3E99" w:rsidRDefault="00AF656D" w:rsidP="00064ED6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="00C805B9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Миколаївській 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064ED6">
              <w:rPr>
                <w:rFonts w:ascii="Calibri" w:hAnsi="Calibri" w:cs="Calibri"/>
                <w:i/>
                <w:iCs/>
                <w:color w:val="DC9529"/>
              </w:rPr>
              <w:t>листопад</w:t>
            </w:r>
            <w:r w:rsidR="00EA52F6">
              <w:rPr>
                <w:rFonts w:ascii="Calibri" w:hAnsi="Calibri" w:cs="Calibr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2025 року</w:t>
            </w:r>
          </w:p>
        </w:tc>
        <w:tc>
          <w:tcPr>
            <w:tcW w:w="2976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53FD71DA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00231BE9">
        <w:trPr>
          <w:trHeight w:val="1260"/>
        </w:trPr>
        <w:tc>
          <w:tcPr>
            <w:tcW w:w="6663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73E36849" w14:textId="54720450" w:rsidR="002530AB" w:rsidRDefault="002F1296" w:rsidP="002F1296">
            <w:pPr>
              <w:pStyle w:val="--121"/>
              <w:spacing w:before="80"/>
              <w:ind w:right="-193"/>
              <w:rPr>
                <w:sz w:val="20"/>
                <w:szCs w:val="20"/>
                <w:lang w:eastAsia="uk-UA"/>
              </w:rPr>
            </w:pPr>
            <w:r w:rsidRPr="00F43A8F">
              <w:rPr>
                <w:sz w:val="20"/>
                <w:szCs w:val="20"/>
                <w:lang w:val="ru-RU"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13273A19" w:rsidR="005C2EC8" w:rsidRPr="002530AB" w:rsidRDefault="002F1296" w:rsidP="002F1296">
            <w:pPr>
              <w:pStyle w:val="--121"/>
              <w:spacing w:after="80"/>
              <w:ind w:right="-193"/>
              <w:rPr>
                <w:sz w:val="20"/>
                <w:szCs w:val="20"/>
                <w:lang w:eastAsia="uk-UA"/>
              </w:rPr>
            </w:pPr>
            <w:r w:rsidRPr="00F43A8F">
              <w:rPr>
                <w:sz w:val="20"/>
                <w:szCs w:val="20"/>
                <w:lang w:val="ru-RU" w:eastAsia="uk-UA"/>
              </w:rPr>
              <w:t xml:space="preserve">        </w:t>
            </w:r>
            <w:r w:rsidR="005205CF">
              <w:rPr>
                <w:sz w:val="20"/>
                <w:szCs w:val="20"/>
                <w:lang w:eastAsia="uk-UA"/>
              </w:rPr>
              <w:t>у Миколаївській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27E8B91F" w14:textId="0E964CD9" w:rsidR="00B10519" w:rsidRPr="009B788D" w:rsidRDefault="00F43A8F" w:rsidP="00B10519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pict w14:anchorId="311BF409">
                <v:shape id="_x0000_i1038" type="#_x0000_t75" alt="Ссылка" style="width:9.65pt;height:9.65pt;visibility:visible;mso-wrap-style:square">
                  <v:imagedata r:id="rId13" o:title="Ссылка"/>
                </v:shape>
              </w:pict>
            </w:r>
            <w:r w:rsidR="00B10519">
              <w:rPr>
                <w:rFonts w:asciiTheme="majorHAnsi" w:hAnsiTheme="majorHAnsi"/>
                <w:sz w:val="22"/>
                <w:szCs w:val="22"/>
                <w:lang w:eastAsia="uk-UA"/>
              </w:rPr>
              <w:t xml:space="preserve">  </w:t>
            </w:r>
            <w:r w:rsidR="009B788D">
              <w:rPr>
                <w:rFonts w:asciiTheme="majorHAnsi" w:hAnsiTheme="majorHAnsi"/>
                <w:sz w:val="22"/>
                <w:szCs w:val="22"/>
                <w:lang w:eastAsia="uk-UA"/>
              </w:rPr>
              <w:t xml:space="preserve">  </w:t>
            </w:r>
            <w:r w:rsidR="00C23776" w:rsidRPr="00F43A8F">
              <w:rPr>
                <w:rFonts w:asciiTheme="majorHAnsi" w:hAnsiTheme="majorHAnsi"/>
                <w:sz w:val="22"/>
                <w:szCs w:val="22"/>
                <w:lang w:eastAsia="uk-UA"/>
              </w:rPr>
              <w:t xml:space="preserve"> </w:t>
            </w:r>
            <w:r w:rsidR="005C2EC8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5205CF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mk.ukrstat.gov.ua</w:t>
            </w:r>
          </w:p>
          <w:p w14:paraId="7A83AA21" w14:textId="507F8968" w:rsidR="005C2EC8" w:rsidRPr="009B788D" w:rsidRDefault="005C2EC8" w:rsidP="00B10519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9B788D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shd w:val="clear" w:color="auto" w:fill="FFFFFF"/>
                <w:lang w:eastAsia="uk-UA"/>
                <w14:ligatures w14:val="standardContextual"/>
              </w:rPr>
              <w:drawing>
                <wp:anchor distT="0" distB="0" distL="114300" distR="114300" simplePos="0" relativeHeight="251710464" behindDoc="1" locked="0" layoutInCell="1" allowOverlap="1" wp14:anchorId="5D0CFC75" wp14:editId="49A55BDC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25400</wp:posOffset>
                  </wp:positionV>
                  <wp:extent cx="103505" cy="103505"/>
                  <wp:effectExtent l="0" t="0" r="0" b="0"/>
                  <wp:wrapTight wrapText="bothSides">
                    <wp:wrapPolygon edited="0">
                      <wp:start x="0" y="0"/>
                      <wp:lineTo x="0" y="15902"/>
                      <wp:lineTo x="15902" y="15902"/>
                      <wp:lineTo x="15902" y="0"/>
                      <wp:lineTo x="0" y="0"/>
                    </wp:wrapPolygon>
                  </wp:wrapTight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05" cy="103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="005205CF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gus@mk.ukrstat.gov.ua</w:t>
            </w:r>
          </w:p>
          <w:p w14:paraId="75627548" w14:textId="00D692D4" w:rsidR="005C2EC8" w:rsidRPr="00E94112" w:rsidRDefault="005C2EC8" w:rsidP="009B788D">
            <w:pPr>
              <w:tabs>
                <w:tab w:val="left" w:pos="317"/>
              </w:tabs>
              <w:spacing w:after="60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 w:rsidRPr="009B788D">
              <w:rPr>
                <w:noProof/>
                <w:sz w:val="22"/>
                <w:szCs w:val="22"/>
                <w:lang w:eastAsia="uk-UA"/>
              </w:rPr>
              <w:drawing>
                <wp:anchor distT="0" distB="0" distL="114300" distR="114300" simplePos="0" relativeHeight="251711488" behindDoc="0" locked="0" layoutInCell="1" allowOverlap="1" wp14:anchorId="4953836E" wp14:editId="0225273C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23495</wp:posOffset>
                  </wp:positionV>
                  <wp:extent cx="109104" cy="109104"/>
                  <wp:effectExtent l="0" t="0" r="5715" b="5715"/>
                  <wp:wrapSquare wrapText="bothSides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+38 (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0512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)</w:t>
            </w:r>
            <w:r w:rsidR="00B10519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37 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51</w:t>
            </w:r>
            <w:r w:rsidR="00B10519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51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4DAAB9E9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2C957DDE">
        <w:rPr>
          <w:rFonts w:ascii="Calibri" w:hAnsi="Calibri" w:cs="Calibri"/>
          <w:color w:val="1F4E79" w:themeColor="accent5" w:themeShade="80"/>
        </w:rPr>
        <w:t>−</w:t>
      </w:r>
      <w:r w:rsidR="00064ED6">
        <w:rPr>
          <w:rFonts w:ascii="Calibri" w:hAnsi="Calibri" w:cs="Calibri"/>
          <w:color w:val="1F4E79" w:themeColor="accent5" w:themeShade="80"/>
        </w:rPr>
        <w:t>листопаді</w:t>
      </w:r>
      <w:r w:rsidR="00EA52F6">
        <w:rPr>
          <w:rFonts w:ascii="Calibri" w:hAnsi="Calibri" w:cs="Calibri"/>
          <w:color w:val="1F4E79" w:themeColor="accent5" w:themeShade="80"/>
        </w:rPr>
        <w:t xml:space="preserve"> </w:t>
      </w:r>
      <w:r w:rsidRPr="2C957DDE">
        <w:rPr>
          <w:rFonts w:ascii="Calibri" w:hAnsi="Calibri" w:cs="Calibri"/>
          <w:color w:val="1F4E79" w:themeColor="accent5" w:themeShade="80"/>
        </w:rPr>
        <w:t>2025р. порівняно із січнем−</w:t>
      </w:r>
      <w:r w:rsidR="00064ED6">
        <w:rPr>
          <w:rFonts w:ascii="Calibri" w:hAnsi="Calibri" w:cs="Calibri"/>
          <w:color w:val="1F4E79" w:themeColor="accent5" w:themeShade="80"/>
        </w:rPr>
        <w:t>листопадом</w:t>
      </w:r>
      <w:r w:rsidRPr="2C957DD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DD0166">
        <w:rPr>
          <w:rFonts w:ascii="Calibri" w:hAnsi="Calibri" w:cs="Calibri"/>
          <w:color w:val="1F4E79" w:themeColor="accent5" w:themeShade="80"/>
        </w:rPr>
        <w:t>1</w:t>
      </w:r>
      <w:r w:rsidR="00064ED6">
        <w:rPr>
          <w:rFonts w:ascii="Calibri" w:hAnsi="Calibri" w:cs="Calibri"/>
          <w:color w:val="1F4E79" w:themeColor="accent5" w:themeShade="80"/>
        </w:rPr>
        <w:t>5</w:t>
      </w:r>
      <w:r w:rsidR="00EA52F6">
        <w:rPr>
          <w:rFonts w:ascii="Calibri" w:hAnsi="Calibri" w:cs="Calibri"/>
          <w:color w:val="1F4E79" w:themeColor="accent5" w:themeShade="80"/>
        </w:rPr>
        <w:t>,</w:t>
      </w:r>
      <w:r w:rsidR="00916E73">
        <w:rPr>
          <w:rFonts w:ascii="Calibri" w:hAnsi="Calibri" w:cs="Calibri"/>
          <w:color w:val="1F4E79" w:themeColor="accent5" w:themeShade="80"/>
        </w:rPr>
        <w:t>6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773764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14:paraId="644B1BD7" w14:textId="77777777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AE21C4" w:rsidRPr="00B43F7F" w14:paraId="0214882F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201AB13F" w:rsidR="00AE21C4" w:rsidRPr="00316D0E" w:rsidRDefault="00916E73" w:rsidP="00064ED6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</w:t>
            </w:r>
            <w:r w:rsidR="00064ED6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4</w:t>
            </w:r>
            <w:r w:rsidR="0018049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5DF61E9C" w:rsidR="00AE21C4" w:rsidRPr="00316D0E" w:rsidRDefault="00DD0166" w:rsidP="00064ED6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</w:t>
            </w:r>
            <w:r w:rsidR="00064ED6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3</w:t>
            </w:r>
            <w:r w:rsidR="0018049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064ED6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7AEDB060" w:rsidR="00AE21C4" w:rsidRPr="00316D0E" w:rsidRDefault="00180495" w:rsidP="00064ED6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</w:t>
            </w:r>
            <w:r w:rsidR="00064ED6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5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064ED6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2</w:t>
            </w:r>
          </w:p>
        </w:tc>
      </w:tr>
      <w:tr w:rsidR="00AE21C4" w:rsidRPr="00B43F7F" w14:paraId="56F9D986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678C57EB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767F2838" w:rsidR="00AE21C4" w:rsidRPr="00316D0E" w:rsidRDefault="00DD0166" w:rsidP="00064ED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48C8EA08" w:rsidR="00AE21C4" w:rsidRPr="00316D0E" w:rsidRDefault="00DD0166" w:rsidP="00064ED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578506D5" w:rsidR="00AE21C4" w:rsidRPr="00316D0E" w:rsidRDefault="00180495" w:rsidP="00064ED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11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</w:t>
            </w:r>
          </w:p>
        </w:tc>
      </w:tr>
      <w:tr w:rsidR="00AE21C4" w:rsidRPr="00B43F7F" w14:paraId="28786F86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31284C83" w:rsidR="00AE21C4" w:rsidRPr="00316D0E" w:rsidRDefault="00DD0166" w:rsidP="00064ED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7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6990779D" w:rsidR="00AE21C4" w:rsidRPr="00316D0E" w:rsidRDefault="00DD0166" w:rsidP="00064ED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7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6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5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166287F0" w:rsidR="00AE21C4" w:rsidRPr="00316D0E" w:rsidRDefault="00916E73" w:rsidP="00064ED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064ED6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</w:t>
            </w:r>
          </w:p>
        </w:tc>
      </w:tr>
    </w:tbl>
    <w:p w14:paraId="71028792" w14:textId="44BCA2D3" w:rsidR="37DCEB36" w:rsidRDefault="37DCEB36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16000B" w:rsidRPr="002923D5" w14:paraId="07325AC4" w14:textId="77777777" w:rsidTr="00717BDC">
        <w:tc>
          <w:tcPr>
            <w:tcW w:w="9629" w:type="dxa"/>
          </w:tcPr>
          <w:p w14:paraId="3A631BE8" w14:textId="77777777" w:rsidR="0016000B" w:rsidRPr="002923D5" w:rsidRDefault="0016000B" w:rsidP="00717BDC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E4CFE9F" wp14:editId="4AD105E2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16000B" w:rsidRPr="002923D5" w14:paraId="1BEDD388" w14:textId="77777777" w:rsidTr="00717BDC">
        <w:tc>
          <w:tcPr>
            <w:tcW w:w="9629" w:type="dxa"/>
          </w:tcPr>
          <w:p w14:paraId="68C6E7C6" w14:textId="77777777" w:rsidR="000C788B" w:rsidRDefault="000C788B" w:rsidP="000C788B">
            <w:pPr>
              <w:jc w:val="both"/>
              <w:rPr>
                <w:rFonts w:ascii="Calibri" w:hAnsi="Calibri" w:cs="Calibri"/>
                <w:color w:val="1F4E79" w:themeColor="accent5" w:themeShade="80"/>
                <w:lang w:eastAsia="uk-UA"/>
              </w:rPr>
            </w:pPr>
            <w:r w:rsidRPr="000C788B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Усі регіони України, крім тимчасово окупованих російською федерацією територій та частини територій, на яких ведуться (велися) бойові дії.  </w:t>
            </w:r>
          </w:p>
          <w:p w14:paraId="228BB207" w14:textId="77777777" w:rsidR="000C788B" w:rsidRPr="000C788B" w:rsidRDefault="000C788B" w:rsidP="000C788B">
            <w:pPr>
              <w:jc w:val="both"/>
              <w:rPr>
                <w:rFonts w:ascii="Calibri" w:hAnsi="Calibri" w:cs="Calibri"/>
                <w:color w:val="1F4E79" w:themeColor="accent5" w:themeShade="80"/>
                <w:lang w:eastAsia="uk-UA"/>
              </w:rPr>
            </w:pPr>
          </w:p>
          <w:p w14:paraId="32B9C601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16000B" w:rsidRPr="002923D5" w14:paraId="0B70B4F1" w14:textId="77777777" w:rsidTr="00717BDC">
        <w:tc>
          <w:tcPr>
            <w:tcW w:w="9629" w:type="dxa"/>
          </w:tcPr>
          <w:p w14:paraId="3FC53435" w14:textId="62324409" w:rsidR="0016000B" w:rsidRPr="000C788B" w:rsidRDefault="0016000B" w:rsidP="00717BDC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2F3CBF16" wp14:editId="487B6B76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  <w:r w:rsidR="000C788B">
              <w:rPr>
                <w:rFonts w:ascii="Calibri" w:hAnsi="Calibri"/>
                <w:b/>
                <w:bCs/>
                <w:color w:val="DC9529"/>
                <w:lang w:val="en-US"/>
              </w:rPr>
              <w:t xml:space="preserve"> </w:t>
            </w:r>
            <w:r w:rsidR="000C788B">
              <w:rPr>
                <w:rFonts w:ascii="Calibri" w:hAnsi="Calibri"/>
                <w:b/>
                <w:bCs/>
                <w:color w:val="DC9529"/>
              </w:rPr>
              <w:t>та визначення</w:t>
            </w:r>
          </w:p>
        </w:tc>
      </w:tr>
      <w:tr w:rsidR="0016000B" w:rsidRPr="009407F6" w14:paraId="02A5DCCF" w14:textId="77777777" w:rsidTr="00717BDC">
        <w:tc>
          <w:tcPr>
            <w:tcW w:w="9629" w:type="dxa"/>
          </w:tcPr>
          <w:p w14:paraId="78800B58" w14:textId="77777777" w:rsidR="000C788B" w:rsidRPr="000C788B" w:rsidRDefault="000C788B" w:rsidP="000C788B">
            <w:pPr>
              <w:jc w:val="both"/>
              <w:rPr>
                <w:rFonts w:ascii="Calibri" w:hAnsi="Calibri" w:cs="Calibri"/>
                <w:color w:val="1F4E79" w:themeColor="accent5" w:themeShade="80"/>
                <w:lang w:eastAsia="uk-UA"/>
              </w:rPr>
            </w:pPr>
            <w:r w:rsidRPr="000C788B">
              <w:rPr>
                <w:rFonts w:ascii="Calibri" w:hAnsi="Calibri" w:cs="Calibri"/>
                <w:b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000C788B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за періоди, що обрані для порівняння. Для розрахунку індексу використовуються обсяги продукції сільського господарства у постійних цінах.</w:t>
            </w:r>
          </w:p>
          <w:p w14:paraId="63402C79" w14:textId="77777777" w:rsidR="000C788B" w:rsidRPr="000C788B" w:rsidRDefault="000C788B" w:rsidP="000C788B">
            <w:pPr>
              <w:spacing w:before="120"/>
              <w:jc w:val="both"/>
              <w:rPr>
                <w:rFonts w:ascii="Calibri" w:hAnsi="Calibri" w:cs="Calibri"/>
                <w:color w:val="1F4E79" w:themeColor="accent5" w:themeShade="80"/>
                <w:lang w:eastAsia="uk-UA"/>
              </w:rPr>
            </w:pPr>
            <w:r w:rsidRPr="000C788B">
              <w:rPr>
                <w:rFonts w:ascii="Calibri" w:hAnsi="Calibri" w:cs="Calibri"/>
                <w:b/>
                <w:color w:val="1F4E79" w:themeColor="accent5" w:themeShade="80"/>
                <w:lang w:eastAsia="uk-UA"/>
              </w:rPr>
              <w:t>Продукція сільського господарства у постійних цінах</w:t>
            </w:r>
            <w:r w:rsidRPr="000C788B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– вартість продукції рослинництва та тваринництва, виробленої упродовж певного періоду часу, у постійних цінах.</w:t>
            </w:r>
          </w:p>
          <w:p w14:paraId="2FF70163" w14:textId="77777777" w:rsidR="000C788B" w:rsidRPr="000C788B" w:rsidRDefault="000C788B" w:rsidP="000C788B">
            <w:pPr>
              <w:spacing w:before="120"/>
              <w:jc w:val="both"/>
              <w:rPr>
                <w:rFonts w:ascii="Calibri" w:hAnsi="Calibri" w:cs="Calibri"/>
                <w:color w:val="1F4E79" w:themeColor="accent5" w:themeShade="80"/>
                <w:lang w:eastAsia="uk-UA"/>
              </w:rPr>
            </w:pPr>
            <w:r w:rsidRPr="000C788B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Розрахунки за січень – січень-травень проводяться на основі даних щодо продукції тваринництва, із січня-червня − на основі даних щодо продукції рослинництва та тваринництва. </w:t>
            </w:r>
          </w:p>
          <w:p w14:paraId="31FD0E3B" w14:textId="77777777" w:rsidR="000C788B" w:rsidRPr="000C788B" w:rsidRDefault="000C788B" w:rsidP="000C788B">
            <w:pPr>
              <w:spacing w:before="120"/>
              <w:jc w:val="both"/>
              <w:rPr>
                <w:rFonts w:ascii="Calibri" w:hAnsi="Calibri" w:cs="Calibri"/>
                <w:color w:val="1F4E79" w:themeColor="accent5" w:themeShade="80"/>
                <w:lang w:eastAsia="uk-UA"/>
              </w:rPr>
            </w:pPr>
            <w:r w:rsidRPr="000C788B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Індекси сільськогосподарської продукції розраховуються по Україні в цілому та регіонах. </w:t>
            </w:r>
          </w:p>
          <w:p w14:paraId="12410CFF" w14:textId="77777777" w:rsidR="003C6C93" w:rsidRPr="003C6C93" w:rsidRDefault="003C6C93" w:rsidP="003C6C93">
            <w:pPr>
              <w:spacing w:before="100"/>
              <w:jc w:val="both"/>
              <w:rPr>
                <w:rFonts w:ascii="Calibri" w:hAnsi="Calibri" w:cs="Calibri"/>
                <w:color w:val="1F4E79" w:themeColor="accent5" w:themeShade="80"/>
                <w:lang w:eastAsia="uk-UA"/>
              </w:rPr>
            </w:pPr>
            <w:r w:rsidRPr="003C6C93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За постійні ціни прийняті середні ціни 2021 року. </w:t>
            </w:r>
          </w:p>
          <w:p w14:paraId="649C608F" w14:textId="0A7CB45D" w:rsidR="003C6C93" w:rsidRDefault="003C6C93" w:rsidP="003C6C93"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C6C93">
              <w:rPr>
                <w:rFonts w:ascii="Calibri" w:hAnsi="Calibri" w:cs="Calibri"/>
                <w:color w:val="1F4E79" w:themeColor="accent5" w:themeShade="80"/>
                <w:lang w:eastAsia="uk-UA"/>
              </w:rPr>
              <w:t>Методологі</w:t>
            </w:r>
            <w:r w:rsidR="00F43A8F">
              <w:rPr>
                <w:rFonts w:ascii="Calibri" w:hAnsi="Calibri" w:cs="Calibri"/>
                <w:color w:val="1F4E79" w:themeColor="accent5" w:themeShade="80"/>
                <w:lang w:eastAsia="uk-UA"/>
              </w:rPr>
              <w:t>чні</w:t>
            </w:r>
            <w:r w:rsidRPr="003C6C93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</w:t>
            </w:r>
            <w:r w:rsidR="00F43A8F">
              <w:rPr>
                <w:rFonts w:ascii="Calibri" w:hAnsi="Calibri" w:cs="Calibri"/>
                <w:color w:val="1F4E79" w:themeColor="accent5" w:themeShade="80"/>
                <w:lang w:eastAsia="uk-UA"/>
              </w:rPr>
              <w:t>положення</w:t>
            </w:r>
            <w:r w:rsidRPr="003C6C93">
              <w:rPr>
                <w:rFonts w:ascii="Calibri" w:hAnsi="Calibri" w:cs="Calibri"/>
                <w:color w:val="1F4E79" w:themeColor="accent5" w:themeShade="80"/>
                <w:lang w:eastAsia="uk-UA"/>
              </w:rPr>
              <w:t>:</w:t>
            </w:r>
            <w:r w:rsidRPr="003C6C93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14:paraId="31B68324" w14:textId="380AB967" w:rsidR="00F43A8F" w:rsidRPr="00F43A8F" w:rsidRDefault="00F43A8F" w:rsidP="00F43A8F">
            <w:pPr>
              <w:rPr>
                <w:rFonts w:asciiTheme="minorHAnsi" w:hAnsiTheme="minorHAnsi"/>
                <w:color w:val="1F4E79" w:themeColor="accent5" w:themeShade="80"/>
              </w:rPr>
            </w:pPr>
            <w:hyperlink r:id="rId19" w:history="1">
              <w:r w:rsidRPr="00F43A8F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https://stat.gov.ua/sites/default/files/2025-11/mp_</w:t>
              </w:r>
              <w:bookmarkStart w:id="1" w:name="_GoBack"/>
              <w:bookmarkEnd w:id="1"/>
              <w:r w:rsidRPr="00F43A8F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pc.pdf</w:t>
              </w:r>
            </w:hyperlink>
          </w:p>
          <w:p w14:paraId="41D1D159" w14:textId="77777777" w:rsidR="00F43A8F" w:rsidRDefault="00F43A8F" w:rsidP="00F43A8F"/>
          <w:p w14:paraId="6D20169E" w14:textId="77777777" w:rsidR="00F43A8F" w:rsidRPr="003C6C93" w:rsidRDefault="00F43A8F" w:rsidP="003C6C93">
            <w:pPr>
              <w:rPr>
                <w:rFonts w:ascii="Calibri" w:hAnsi="Calibri" w:cs="Calibri"/>
                <w:color w:val="1F4E79" w:themeColor="accent5" w:themeShade="80"/>
                <w:u w:val="single"/>
                <w:lang w:eastAsia="uk-UA"/>
              </w:rPr>
            </w:pPr>
          </w:p>
          <w:p w14:paraId="599E90BF" w14:textId="77777777" w:rsidR="0016000B" w:rsidRPr="000C788B" w:rsidRDefault="0016000B" w:rsidP="000C788B">
            <w:pPr>
              <w:jc w:val="both"/>
              <w:rPr>
                <w:rFonts w:ascii="Calibri" w:hAnsi="Calibri" w:cs="Calibri"/>
                <w:lang w:eastAsia="uk-UA"/>
              </w:rPr>
            </w:pPr>
          </w:p>
          <w:p w14:paraId="3323E21A" w14:textId="77777777" w:rsidR="0016000B" w:rsidRPr="00F43A8F" w:rsidRDefault="0016000B" w:rsidP="00717BDC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</w:rPr>
            </w:pPr>
          </w:p>
        </w:tc>
      </w:tr>
      <w:tr w:rsidR="0016000B" w:rsidRPr="002923D5" w14:paraId="24DB7D0E" w14:textId="77777777" w:rsidTr="00717BDC">
        <w:tc>
          <w:tcPr>
            <w:tcW w:w="9629" w:type="dxa"/>
          </w:tcPr>
          <w:p w14:paraId="3014B11D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1D657BF" wp14:editId="56F117F9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16000B" w:rsidRPr="002923D5" w14:paraId="64C114EF" w14:textId="77777777" w:rsidTr="00717BDC">
        <w:tc>
          <w:tcPr>
            <w:tcW w:w="9629" w:type="dxa"/>
          </w:tcPr>
          <w:p w14:paraId="03569BB9" w14:textId="77777777" w:rsidR="000C788B" w:rsidRPr="000C788B" w:rsidRDefault="000C788B" w:rsidP="000C788B">
            <w:pPr>
              <w:pStyle w:val="ab"/>
              <w:spacing w:before="0" w:beforeAutospacing="0" w:after="0" w:afterAutospacing="0"/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000C788B">
              <w:rPr>
                <w:rFonts w:ascii="Calibri" w:hAnsi="Calibri" w:cs="Calibri"/>
                <w:color w:val="1F4E79" w:themeColor="accent5" w:themeShade="80"/>
              </w:rPr>
              <w:t xml:space="preserve"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які оприлюднюються в травні наступного за звітним року. </w:t>
            </w:r>
          </w:p>
          <w:p w14:paraId="13595290" w14:textId="1DC0AA6B" w:rsidR="0016000B" w:rsidRPr="002923D5" w:rsidRDefault="0016000B" w:rsidP="00717BDC">
            <w:pPr>
              <w:jc w:val="both"/>
            </w:pP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19B873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C60C1C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CB837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F7E1D6D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3BD237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FC45F3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A143712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91856E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DB8A945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42B3E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FB834B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E8DC2B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532447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A39CA5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FBD5284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134D0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87DB192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77777777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3B3402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46FDE7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1876434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1BFE34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F3C62B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0618B8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EF250C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E6D2296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4BD9E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7B2A3E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10702D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4AC5EAA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B88463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BBA1A2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348B41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7CF40CA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C43FCB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D01913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D5ECEEF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9358948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E05C8F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B4BA5C7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023963E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477EEC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1DCF8A2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3B0A9C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12DF83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155A16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E2DF25B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3B76A45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74B169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DC6C289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D220737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7BB627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E07C297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C1258D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ECA4E17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222A738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675C12C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E8086CF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3C07429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935353E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948582D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76B8937" w14:textId="77777777" w:rsidR="000C788B" w:rsidRDefault="000C788B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026E6F76" w14:textId="77777777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00F2D49E" w14:textId="2ED37E95" w:rsidR="00A36402" w:rsidRPr="003D64EB" w:rsidRDefault="00A36402" w:rsidP="00AE2658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="00C65CEE" w:rsidRPr="00C65CEE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="00C65CEE" w:rsidRPr="00C65CEE">
              <w:rPr>
                <w:rFonts w:ascii="Calibri Light" w:hAnsi="Calibri Light" w:cs="Calibri Light"/>
                <w:color w:val="666666"/>
              </w:rPr>
              <w:t>. (0512) 50-08-32; e-</w:t>
            </w:r>
            <w:proofErr w:type="spellStart"/>
            <w:r w:rsidR="00C65CEE" w:rsidRPr="00C65CEE">
              <w:rPr>
                <w:rFonts w:ascii="Calibri Light" w:hAnsi="Calibri Light" w:cs="Calibri Light"/>
                <w:color w:val="666666"/>
              </w:rPr>
              <w:t>mail</w:t>
            </w:r>
            <w:proofErr w:type="spellEnd"/>
            <w:r w:rsidR="00C65CEE" w:rsidRPr="00C65CEE">
              <w:rPr>
                <w:rFonts w:ascii="Calibri Light" w:hAnsi="Calibri Light" w:cs="Calibri Light"/>
                <w:color w:val="666666"/>
              </w:rPr>
              <w:t>: gus@mk.ukrstat.gov.ua</w:t>
            </w:r>
          </w:p>
          <w:p w14:paraId="7E67F30C" w14:textId="6C04D7EC" w:rsidR="00A36402" w:rsidRPr="00C65CEE" w:rsidRDefault="00A36402" w:rsidP="00AE2658">
            <w:pPr>
              <w:widowControl w:val="0"/>
              <w:rPr>
                <w:rFonts w:asciiTheme="majorHAnsi" w:hAnsiTheme="majorHAns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 </w:t>
            </w:r>
            <w:r w:rsidRPr="00C65CEE">
              <w:rPr>
                <w:rFonts w:asciiTheme="majorHAnsi" w:hAnsiTheme="majorHAnsi" w:cs="Calibri Light"/>
                <w:color w:val="666666"/>
              </w:rPr>
              <w:t xml:space="preserve">Більше інформації: </w:t>
            </w:r>
            <w:hyperlink r:id="rId20" w:history="1">
              <w:r w:rsidR="00C65CEE" w:rsidRPr="00C65CEE">
                <w:rPr>
                  <w:rStyle w:val="a5"/>
                  <w:rFonts w:asciiTheme="majorHAnsi" w:hAnsiTheme="majorHAnsi"/>
                </w:rPr>
                <w:t>http</w:t>
              </w:r>
              <w:r w:rsidR="00C65CEE" w:rsidRPr="00C65CEE">
                <w:rPr>
                  <w:rStyle w:val="a5"/>
                  <w:rFonts w:asciiTheme="majorHAnsi" w:hAnsiTheme="majorHAnsi"/>
                  <w:lang w:val="en-US"/>
                </w:rPr>
                <w:t>s</w:t>
              </w:r>
              <w:r w:rsidR="00C65CEE" w:rsidRPr="00C65CEE">
                <w:rPr>
                  <w:rStyle w:val="a5"/>
                  <w:rFonts w:asciiTheme="majorHAnsi" w:hAnsiTheme="majorHAnsi"/>
                </w:rPr>
                <w:t>://www.mk.ukrstat.gov.ua/stat_</w:t>
              </w:r>
              <w:r w:rsidR="00C65CEE" w:rsidRPr="00C65CEE">
                <w:rPr>
                  <w:rStyle w:val="a5"/>
                  <w:rFonts w:asciiTheme="majorHAnsi" w:hAnsiTheme="majorHAnsi"/>
                  <w:lang w:val="en-US"/>
                </w:rPr>
                <w:t>inf</w:t>
              </w:r>
              <w:r w:rsidR="00C65CEE" w:rsidRPr="00C65CEE">
                <w:rPr>
                  <w:rStyle w:val="a5"/>
                  <w:rFonts w:asciiTheme="majorHAnsi" w:hAnsiTheme="majorHAnsi"/>
                </w:rPr>
                <w:t>.htm</w:t>
              </w:r>
            </w:hyperlink>
          </w:p>
          <w:p w14:paraId="242F9023" w14:textId="6E1156B9" w:rsidR="00A36402" w:rsidRPr="005E0CF1" w:rsidRDefault="00A36402" w:rsidP="00C65CEE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C65CEE">
              <w:rPr>
                <w:rFonts w:ascii="Calibri Light" w:hAnsi="Calibri Light" w:cs="Calibri Light"/>
                <w:color w:val="666666"/>
              </w:rPr>
              <w:t xml:space="preserve"> Миколаївській </w:t>
            </w:r>
            <w:r w:rsidRPr="00A36402">
              <w:rPr>
                <w:rFonts w:ascii="Calibri Light" w:hAnsi="Calibri Light" w:cs="Calibri Light"/>
                <w:color w:val="666666"/>
              </w:rPr>
              <w:t>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39670" w14:textId="77777777" w:rsidR="00730847" w:rsidRDefault="00730847" w:rsidP="005345A4">
      <w:r>
        <w:separator/>
      </w:r>
    </w:p>
  </w:endnote>
  <w:endnote w:type="continuationSeparator" w:id="0">
    <w:p w14:paraId="62938FBE" w14:textId="77777777" w:rsidR="00730847" w:rsidRDefault="00730847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F43A8F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5AE88" w14:textId="77777777" w:rsidR="00730847" w:rsidRDefault="00730847" w:rsidP="005345A4">
      <w:r>
        <w:separator/>
      </w:r>
    </w:p>
  </w:footnote>
  <w:footnote w:type="continuationSeparator" w:id="0">
    <w:p w14:paraId="4E9EB31B" w14:textId="77777777" w:rsidR="00730847" w:rsidRDefault="00730847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819086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55pt;height:39.55pt;visibility:visible;mso-wrap-style:square" o:bullet="t">
        <v:imagedata r:id="rId1" o:title=""/>
      </v:shape>
    </w:pict>
  </w:numPicBullet>
  <w:numPicBullet w:numPicBulletId="1">
    <w:pict>
      <v:shape id="_x0000_i1027" type="#_x0000_t75" style="width:36.5pt;height:36.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5pt;height:36.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1pt;height:8.1pt;visibility:visible;mso-wrap-style:square" o:bullet="t">
        <v:imagedata r:id="rId12" o:title="Конверт"/>
      </v:shape>
    </w:pict>
  </w:numPicBullet>
  <w:numPicBullet w:numPicBulletId="12">
    <w:pict>
      <v:shape id="_x0000_i1038" type="#_x0000_t75" alt="Ссылка" style="width:11.15pt;height:11.15pt;visibility:visible;mso-wrap-style:square" o:bullet="t">
        <v:imagedata r:id="rId13" o:title="Ссылка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2595"/>
    <w:rsid w:val="00014871"/>
    <w:rsid w:val="00015006"/>
    <w:rsid w:val="00015105"/>
    <w:rsid w:val="000161D7"/>
    <w:rsid w:val="00020772"/>
    <w:rsid w:val="0002684B"/>
    <w:rsid w:val="000270CF"/>
    <w:rsid w:val="00033D6D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64ED6"/>
    <w:rsid w:val="000802BE"/>
    <w:rsid w:val="000813FB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C788B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00B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0495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01"/>
    <w:rsid w:val="001E4572"/>
    <w:rsid w:val="001E57A1"/>
    <w:rsid w:val="001E79A5"/>
    <w:rsid w:val="001F107C"/>
    <w:rsid w:val="001F1D29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21CE"/>
    <w:rsid w:val="002230DD"/>
    <w:rsid w:val="00223C08"/>
    <w:rsid w:val="002257BC"/>
    <w:rsid w:val="00231BE9"/>
    <w:rsid w:val="002326A0"/>
    <w:rsid w:val="00233F9C"/>
    <w:rsid w:val="00235412"/>
    <w:rsid w:val="00237BA1"/>
    <w:rsid w:val="00237D0B"/>
    <w:rsid w:val="002442E9"/>
    <w:rsid w:val="002530AB"/>
    <w:rsid w:val="00254775"/>
    <w:rsid w:val="00256FF8"/>
    <w:rsid w:val="00257F2E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296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CA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2279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C93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C19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5CF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4D22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17B8"/>
    <w:rsid w:val="005C2EC8"/>
    <w:rsid w:val="005C546A"/>
    <w:rsid w:val="005C615B"/>
    <w:rsid w:val="005C6559"/>
    <w:rsid w:val="005D0BEE"/>
    <w:rsid w:val="005D115F"/>
    <w:rsid w:val="005D225C"/>
    <w:rsid w:val="005D3FF6"/>
    <w:rsid w:val="005D4CB7"/>
    <w:rsid w:val="005D7522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96C7E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0847"/>
    <w:rsid w:val="007313FC"/>
    <w:rsid w:val="007417D8"/>
    <w:rsid w:val="007417FE"/>
    <w:rsid w:val="007435D2"/>
    <w:rsid w:val="007446AD"/>
    <w:rsid w:val="007446E7"/>
    <w:rsid w:val="00744DC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B78FF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3536"/>
    <w:rsid w:val="00905394"/>
    <w:rsid w:val="00905E99"/>
    <w:rsid w:val="009107B3"/>
    <w:rsid w:val="00912293"/>
    <w:rsid w:val="00912552"/>
    <w:rsid w:val="00915FE3"/>
    <w:rsid w:val="00916E7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47DA6"/>
    <w:rsid w:val="00950DF0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788D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26EC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56D"/>
    <w:rsid w:val="00AF6861"/>
    <w:rsid w:val="00B05EEA"/>
    <w:rsid w:val="00B0783F"/>
    <w:rsid w:val="00B10519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24D4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3776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5CEE"/>
    <w:rsid w:val="00C66A28"/>
    <w:rsid w:val="00C66BCC"/>
    <w:rsid w:val="00C72B29"/>
    <w:rsid w:val="00C7717E"/>
    <w:rsid w:val="00C77237"/>
    <w:rsid w:val="00C805B9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C7F05"/>
    <w:rsid w:val="00CD00ED"/>
    <w:rsid w:val="00CD03DC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9586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166"/>
    <w:rsid w:val="00DD0EE9"/>
    <w:rsid w:val="00DD138A"/>
    <w:rsid w:val="00DD1D01"/>
    <w:rsid w:val="00DD373D"/>
    <w:rsid w:val="00DE1D62"/>
    <w:rsid w:val="00DE24CB"/>
    <w:rsid w:val="00DE3E83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2F6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35E1"/>
    <w:rsid w:val="00ED3D37"/>
    <w:rsid w:val="00ED544B"/>
    <w:rsid w:val="00ED5771"/>
    <w:rsid w:val="00ED5CBF"/>
    <w:rsid w:val="00ED63FC"/>
    <w:rsid w:val="00ED7CA8"/>
    <w:rsid w:val="00EE0476"/>
    <w:rsid w:val="00EE31D2"/>
    <w:rsid w:val="00EE7FFE"/>
    <w:rsid w:val="00EF31B2"/>
    <w:rsid w:val="00EF390F"/>
    <w:rsid w:val="00EF486E"/>
    <w:rsid w:val="00EF62D0"/>
    <w:rsid w:val="00F0151D"/>
    <w:rsid w:val="00F0215C"/>
    <w:rsid w:val="00F066D7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3A8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2024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406D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paragraph" w:customStyle="1" w:styleId="aff1">
    <w:name w:val="Знак Знак"/>
    <w:basedOn w:val="a0"/>
    <w:rsid w:val="005205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5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www.mk.ukrstat.gov.ua/stat_inf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4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stat.gov.ua/sites/default/files/2025-11/mp_pc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www.w3.org/XML/1998/namespace"/>
    <ds:schemaRef ds:uri="http://purl.org/dc/terms/"/>
    <ds:schemaRef ds:uri="63581625-5405-4f4c-b8da-aeb7be2e81a0"/>
    <ds:schemaRef ds:uri="http://schemas.openxmlformats.org/package/2006/metadata/core-properties"/>
    <ds:schemaRef ds:uri="http://purl.org/dc/dcmitype/"/>
    <ds:schemaRef ds:uri="94080eec-b6b4-424a-9077-b67525ac751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3C0737-3727-4111-A927-77C00432F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Int_User_12</cp:lastModifiedBy>
  <cp:revision>26</cp:revision>
  <cp:lastPrinted>2025-12-23T06:58:00Z</cp:lastPrinted>
  <dcterms:created xsi:type="dcterms:W3CDTF">2025-09-16T09:56:00Z</dcterms:created>
  <dcterms:modified xsi:type="dcterms:W3CDTF">2025-12-23T06:59:00Z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