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3C642AC0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180595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2A0A2C">
              <w:rPr>
                <w:rFonts w:asciiTheme="minorHAnsi" w:hAnsiTheme="minorHAnsi" w:cstheme="minorHAnsi"/>
                <w:b/>
                <w:bCs/>
                <w:color w:val="21517E"/>
              </w:rPr>
              <w:t>4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2A0A2C">
              <w:rPr>
                <w:rFonts w:asciiTheme="minorHAnsi" w:hAnsiTheme="minorHAnsi" w:cstheme="minorHAnsi"/>
                <w:b/>
                <w:bCs/>
                <w:color w:val="21517E"/>
              </w:rPr>
              <w:t>01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2A0A2C">
              <w:rPr>
                <w:rFonts w:asciiTheme="minorHAnsi" w:hAnsiTheme="minorHAnsi" w:cstheme="minorHAnsi"/>
                <w:b/>
                <w:bCs/>
                <w:color w:val="21517E"/>
              </w:rPr>
              <w:t>6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390CB510" w:rsidR="005C2EC8" w:rsidRPr="00AB3E99" w:rsidRDefault="00307615" w:rsidP="002A0A2C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 Миколаївській</w:t>
            </w:r>
            <w:r w:rsidR="0084528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625F53" w:rsidRPr="00625F5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18373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2A0A2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грудні 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476D6555" w14:textId="77777777" w:rsidR="00307615" w:rsidRDefault="00307615" w:rsidP="00307615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4AD552CF" w14:textId="77777777" w:rsidR="00307615" w:rsidRPr="002530AB" w:rsidRDefault="00307615" w:rsidP="00307615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Pr="002530AB">
              <w:rPr>
                <w:sz w:val="20"/>
                <w:szCs w:val="20"/>
                <w:lang w:eastAsia="uk-UA"/>
              </w:rPr>
              <w:t xml:space="preserve"> </w:t>
            </w:r>
            <w:r>
              <w:rPr>
                <w:sz w:val="20"/>
                <w:szCs w:val="20"/>
                <w:lang w:eastAsia="uk-UA"/>
              </w:rPr>
              <w:t>Миколаївській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74D69C5F" w14:textId="77777777" w:rsidR="00307615" w:rsidRPr="009A410E" w:rsidRDefault="00307615" w:rsidP="00307615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704E4665" wp14:editId="05EF9265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4="http://schemas.microsoft.com/office/drawing/2010/main" xmlns:a16="http://schemas.microsoft.com/office/drawing/2014/main" xmlns:c="http://schemas.openxmlformats.org/drawingml/2006/chart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mk.ukrstat.gov.ua</w:t>
            </w:r>
          </w:p>
          <w:p w14:paraId="6839EC29" w14:textId="0DFD8B4B" w:rsidR="00307615" w:rsidRPr="000802BE" w:rsidRDefault="00571EE8" w:rsidP="00571EE8"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 </w:t>
            </w:r>
            <w:r w:rsidR="00307615"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52CFF05A" wp14:editId="0E44875D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4="http://schemas.microsoft.com/office/drawing/2010/main" xmlns:a16="http://schemas.microsoft.com/office/drawing/2014/main" xmlns:c="http://schemas.openxmlformats.org/drawingml/2006/chart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076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307615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gus@mk.ukrstat.gov.ua</w:t>
            </w:r>
          </w:p>
          <w:p w14:paraId="31816315" w14:textId="52D57FD5" w:rsidR="005C2EC8" w:rsidRPr="00E94112" w:rsidRDefault="00307615" w:rsidP="00307615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7609A604" wp14:editId="6B32E03C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571EE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3259EAD8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+38 </w:t>
            </w:r>
            <w:r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(0512) 37 51 51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196C95C7" w14:textId="77777777" w:rsidR="00A45BB1" w:rsidRDefault="00A45BB1" w:rsidP="00183730">
      <w:pPr>
        <w:pStyle w:val="--12"/>
      </w:pPr>
    </w:p>
    <w:p w14:paraId="54B171D5" w14:textId="0053F2EC" w:rsidR="00183730" w:rsidRPr="002A0A2C" w:rsidRDefault="002A0A2C" w:rsidP="00183730">
      <w:pPr>
        <w:pStyle w:val="--12"/>
        <w:rPr>
          <w:szCs w:val="24"/>
        </w:rPr>
      </w:pPr>
      <w:r w:rsidRPr="002A0A2C">
        <w:rPr>
          <w:rFonts w:ascii="Calibri" w:hAnsi="Calibri"/>
          <w:spacing w:val="-2"/>
          <w:szCs w:val="24"/>
        </w:rPr>
        <w:t>С</w:t>
      </w:r>
      <w:r w:rsidRPr="002A0A2C">
        <w:rPr>
          <w:rFonts w:ascii="Calibri" w:hAnsi="Calibri"/>
          <w:szCs w:val="24"/>
        </w:rPr>
        <w:t>поживчі ціни у грудні 202</w:t>
      </w:r>
      <w:r w:rsidRPr="002A0A2C">
        <w:rPr>
          <w:rFonts w:ascii="Calibri" w:hAnsi="Calibri"/>
          <w:szCs w:val="24"/>
          <w:lang w:val="en-US"/>
        </w:rPr>
        <w:t>5</w:t>
      </w:r>
      <w:r w:rsidRPr="002A0A2C">
        <w:rPr>
          <w:rFonts w:ascii="Calibri" w:hAnsi="Calibri"/>
          <w:szCs w:val="24"/>
        </w:rPr>
        <w:t xml:space="preserve">р. порівняно з листопадом </w:t>
      </w:r>
      <w:r w:rsidR="000520B6">
        <w:rPr>
          <w:rFonts w:ascii="Calibri" w:hAnsi="Calibri"/>
          <w:szCs w:val="24"/>
          <w:lang w:val="en-US"/>
        </w:rPr>
        <w:t>2025</w:t>
      </w:r>
      <w:r w:rsidR="000520B6">
        <w:rPr>
          <w:rFonts w:ascii="Calibri" w:hAnsi="Calibri"/>
          <w:szCs w:val="24"/>
        </w:rPr>
        <w:t xml:space="preserve">р. </w:t>
      </w:r>
      <w:r w:rsidRPr="002A0A2C">
        <w:rPr>
          <w:rFonts w:ascii="Calibri" w:hAnsi="Calibri"/>
          <w:szCs w:val="24"/>
        </w:rPr>
        <w:t>по області знизились</w:t>
      </w:r>
      <w:r w:rsidRPr="002A0A2C">
        <w:rPr>
          <w:rFonts w:ascii="Calibri" w:hAnsi="Calibri"/>
          <w:szCs w:val="24"/>
          <w:lang w:val="en-US"/>
        </w:rPr>
        <w:t xml:space="preserve"> </w:t>
      </w:r>
      <w:r w:rsidRPr="002A0A2C">
        <w:rPr>
          <w:rFonts w:ascii="Calibri" w:hAnsi="Calibri"/>
          <w:szCs w:val="24"/>
        </w:rPr>
        <w:t>на</w:t>
      </w:r>
      <w:r w:rsidRPr="002A0A2C">
        <w:rPr>
          <w:rFonts w:ascii="Calibri" w:hAnsi="Calibri"/>
          <w:bCs/>
          <w:iCs/>
          <w:szCs w:val="24"/>
        </w:rPr>
        <w:t xml:space="preserve"> </w:t>
      </w:r>
      <w:r w:rsidRPr="002A0A2C">
        <w:rPr>
          <w:rFonts w:ascii="Calibri" w:hAnsi="Calibri"/>
          <w:bCs/>
          <w:iCs/>
          <w:spacing w:val="-2"/>
          <w:szCs w:val="24"/>
        </w:rPr>
        <w:t>0</w:t>
      </w:r>
      <w:r w:rsidRPr="002A0A2C">
        <w:rPr>
          <w:rFonts w:ascii="Calibri" w:hAnsi="Calibri"/>
          <w:spacing w:val="-2"/>
          <w:szCs w:val="24"/>
        </w:rPr>
        <w:t>,1% (по Україні</w:t>
      </w:r>
      <w:r w:rsidRPr="002A0A2C">
        <w:rPr>
          <w:rFonts w:ascii="Calibri" w:hAnsi="Calibri"/>
          <w:spacing w:val="-2"/>
          <w:szCs w:val="24"/>
          <w:vertAlign w:val="superscript"/>
        </w:rPr>
        <w:t xml:space="preserve"> </w:t>
      </w:r>
      <w:r w:rsidRPr="002A0A2C">
        <w:rPr>
          <w:rFonts w:ascii="Calibri" w:hAnsi="Calibri"/>
          <w:spacing w:val="-2"/>
          <w:szCs w:val="24"/>
        </w:rPr>
        <w:t xml:space="preserve">– зросли на 0,2%), </w:t>
      </w:r>
      <w:r w:rsidRPr="002A0A2C">
        <w:rPr>
          <w:rFonts w:ascii="Calibri" w:hAnsi="Calibri"/>
          <w:szCs w:val="24"/>
        </w:rPr>
        <w:t>з</w:t>
      </w:r>
      <w:r w:rsidR="000520B6">
        <w:rPr>
          <w:rFonts w:ascii="Calibri" w:hAnsi="Calibri"/>
          <w:szCs w:val="24"/>
        </w:rPr>
        <w:t>а рік у цілому</w:t>
      </w:r>
      <w:r w:rsidRPr="002A0A2C">
        <w:rPr>
          <w:rFonts w:ascii="Calibri" w:hAnsi="Calibri"/>
          <w:szCs w:val="24"/>
        </w:rPr>
        <w:t xml:space="preserve"> зросли на 7,7% (на 8,0%).</w:t>
      </w:r>
    </w:p>
    <w:p w14:paraId="5AEBD239" w14:textId="77777777" w:rsidR="00183730" w:rsidRDefault="00183730" w:rsidP="00183730">
      <w:pPr>
        <w:pStyle w:val="--12"/>
        <w:ind w:firstLine="0"/>
      </w:pPr>
    </w:p>
    <w:p w14:paraId="1DEA26DA" w14:textId="77777777" w:rsidR="00183730" w:rsidRDefault="00183730" w:rsidP="00183730">
      <w:pPr>
        <w:pStyle w:val="--12"/>
        <w:ind w:firstLine="0"/>
        <w:sectPr w:rsidR="00183730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59F9BB42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2BB0603C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  <w:bookmarkStart w:id="1" w:name="_GoBack"/>
      <w:bookmarkEnd w:id="1"/>
    </w:p>
    <w:p w14:paraId="0F8FC45B" w14:textId="77777777" w:rsidR="00A45BB1" w:rsidRDefault="00A45BB1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0019894A" w:rsidR="00464B9F" w:rsidRDefault="002A0A2C" w:rsidP="002A0A2C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Грудень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</w:t>
            </w:r>
            <w:r w:rsidR="00312D19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2025 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до</w:t>
            </w:r>
          </w:p>
        </w:tc>
      </w:tr>
      <w:tr w:rsidR="00464B9F" w14:paraId="05E2E462" w14:textId="77777777" w:rsidTr="00170120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1539B511" w14:textId="66FEFE88" w:rsidR="00464B9F" w:rsidRDefault="002A0A2C" w:rsidP="002A0A2C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листопада</w:t>
            </w:r>
            <w:r w:rsidR="00312D19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5E256D9" w14:textId="14E6BB14" w:rsidR="00464B9F" w:rsidRDefault="00F4211F" w:rsidP="00312D19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312D19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170120" w14:paraId="470AF59B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170120" w:rsidRDefault="00170120" w:rsidP="00170120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2FA75FE4" w:rsidR="00170120" w:rsidRPr="00B75252" w:rsidRDefault="00857977" w:rsidP="00857977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</w:t>
            </w:r>
            <w:r w:rsidR="00B75252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0</w:t>
            </w:r>
            <w:r w:rsidR="00B75252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0134CBFE" w:rsidR="00170120" w:rsidRPr="00170120" w:rsidRDefault="00A01EB5" w:rsidP="00170120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7,7</w:t>
            </w:r>
          </w:p>
        </w:tc>
      </w:tr>
      <w:tr w:rsidR="00170120" w14:paraId="26E532DA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170120" w:rsidRDefault="00170120" w:rsidP="00170120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5D50E334" w:rsidR="00170120" w:rsidRPr="00170120" w:rsidRDefault="00634704" w:rsidP="00634704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61826EF7" w:rsidR="00170120" w:rsidRPr="00170120" w:rsidRDefault="00A01EB5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10,4</w:t>
            </w:r>
          </w:p>
        </w:tc>
      </w:tr>
      <w:tr w:rsidR="00170120" w14:paraId="7F255F5B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170120" w:rsidRDefault="00170120" w:rsidP="00170120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54B3A78A" w:rsidR="00170120" w:rsidRPr="002E3BA1" w:rsidRDefault="00634704" w:rsidP="0063470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</w:t>
            </w:r>
            <w:r w:rsidR="00B75252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63E7F390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10,1</w:t>
            </w:r>
          </w:p>
        </w:tc>
      </w:tr>
      <w:tr w:rsidR="00170120" w14:paraId="58B980C0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466FF3F5" w:rsidR="00170120" w:rsidRPr="002E3BA1" w:rsidRDefault="00634704" w:rsidP="0063470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</w:t>
            </w:r>
            <w:r w:rsidR="00B75252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5477CDF4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11,7</w:t>
            </w:r>
          </w:p>
        </w:tc>
      </w:tr>
      <w:tr w:rsidR="00170120" w14:paraId="0EB17AF8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6B1DB132" w:rsidR="00170120" w:rsidRPr="002E3BA1" w:rsidRDefault="00634704" w:rsidP="0063470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</w:t>
            </w:r>
            <w:r w:rsidR="00B75252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1324E009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12,7</w:t>
            </w:r>
          </w:p>
        </w:tc>
      </w:tr>
      <w:tr w:rsidR="00170120" w14:paraId="78B1F1F8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6339C135" w:rsidR="00170120" w:rsidRPr="002E3BA1" w:rsidRDefault="00634704" w:rsidP="0063470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–4</w:t>
            </w:r>
            <w:r w:rsidR="00B75252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08B37D4F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6,8</w:t>
            </w:r>
          </w:p>
        </w:tc>
      </w:tr>
      <w:tr w:rsidR="00170120" w14:paraId="6485CAB5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332EDED6" w:rsidR="00170120" w:rsidRPr="002E3BA1" w:rsidRDefault="00634704" w:rsidP="0063470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68DAF07A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22,8</w:t>
            </w:r>
          </w:p>
        </w:tc>
      </w:tr>
      <w:tr w:rsidR="00170120" w14:paraId="12320FB1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5090C939" w:rsidR="00170120" w:rsidRPr="002E3BA1" w:rsidRDefault="00634704" w:rsidP="0063470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B75252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32485BAD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25,8</w:t>
            </w:r>
          </w:p>
        </w:tc>
      </w:tr>
      <w:tr w:rsidR="00170120" w14:paraId="5483A3E7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4B6C94B3" w:rsidR="00170120" w:rsidRPr="002E3BA1" w:rsidRDefault="00634704" w:rsidP="0063470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</w:t>
            </w:r>
            <w:r w:rsidR="00B75252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1CF1D025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7,1</w:t>
            </w:r>
          </w:p>
        </w:tc>
      </w:tr>
      <w:tr w:rsidR="00170120" w14:paraId="41234D31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0FC19240" w:rsidR="00170120" w:rsidRPr="002E3BA1" w:rsidRDefault="00A01EB5" w:rsidP="00A01EB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03CADC2F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7,4</w:t>
            </w:r>
          </w:p>
        </w:tc>
      </w:tr>
      <w:tr w:rsidR="00170120" w14:paraId="66A9A711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70A92F9C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3,3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186DA828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12,9</w:t>
            </w:r>
          </w:p>
        </w:tc>
      </w:tr>
      <w:tr w:rsidR="00170120" w14:paraId="0D104B52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6E78DA3E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–5,1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41D8B908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–0,6</w:t>
            </w:r>
          </w:p>
        </w:tc>
      </w:tr>
      <w:tr w:rsidR="00170120" w14:paraId="209F2CFF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2D596400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323F5215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18,9</w:t>
            </w:r>
          </w:p>
        </w:tc>
      </w:tr>
      <w:tr w:rsidR="00170120" w14:paraId="0FE30D0F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595E27FE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423CB1DE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20,7</w:t>
            </w:r>
          </w:p>
        </w:tc>
      </w:tr>
      <w:tr w:rsidR="00170120" w14:paraId="7019EC9D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0C312CDE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2D805B01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–28,7</w:t>
            </w:r>
          </w:p>
        </w:tc>
      </w:tr>
      <w:tr w:rsidR="00170120" w14:paraId="5BF866F6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55930236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–4,3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30300889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–14,9</w:t>
            </w:r>
          </w:p>
        </w:tc>
      </w:tr>
      <w:tr w:rsidR="00170120" w14:paraId="25B40A72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170120" w:rsidRDefault="00170120" w:rsidP="00170120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44079D72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–0,1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3DC43B13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13,3</w:t>
            </w:r>
          </w:p>
        </w:tc>
      </w:tr>
      <w:tr w:rsidR="00170120" w14:paraId="1C54BFDE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170120" w:rsidRDefault="00170120" w:rsidP="00170120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732FE658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2C1B106F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17,4</w:t>
            </w:r>
          </w:p>
        </w:tc>
      </w:tr>
      <w:tr w:rsidR="00170120" w14:paraId="595BE09A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170120" w:rsidRDefault="00170120" w:rsidP="00170120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0FA4A633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–6,8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25524592" w:rsidR="00170120" w:rsidRPr="002E3BA1" w:rsidRDefault="00A01EB5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–5,9</w:t>
            </w:r>
          </w:p>
        </w:tc>
      </w:tr>
      <w:tr w:rsidR="00170120" w14:paraId="017539AD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170120" w:rsidRDefault="00170120" w:rsidP="00170120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3A88991E" w:rsidR="00170120" w:rsidRPr="00A01EB5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A01EB5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–7,5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6043C44F" w:rsidR="00170120" w:rsidRPr="00A01EB5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A01EB5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–8,8</w:t>
            </w:r>
          </w:p>
        </w:tc>
      </w:tr>
      <w:tr w:rsidR="00170120" w14:paraId="53B129FD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170120" w:rsidRDefault="00170120" w:rsidP="00170120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2566DC48" w:rsidR="00170120" w:rsidRPr="00A01EB5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A01EB5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–6,0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22CEF579" w:rsidR="00170120" w:rsidRPr="00A01EB5" w:rsidRDefault="00A01EB5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A01EB5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–2,5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36FC1380" w14:textId="77777777" w:rsidR="00441A2A" w:rsidRDefault="00441A2A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6027767C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41A2A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441A2A" w:rsidRDefault="00441A2A" w:rsidP="00441A2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3CF27648" w:rsidR="00441A2A" w:rsidRDefault="00DF6970" w:rsidP="00B862BA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Грудень</w:t>
            </w:r>
            <w:r w:rsidR="00B862BA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</w:t>
            </w:r>
            <w:r w:rsidR="00441A2A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2025 </w:t>
            </w:r>
            <w:r w:rsidR="00441A2A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до</w:t>
            </w:r>
          </w:p>
        </w:tc>
      </w:tr>
      <w:tr w:rsidR="00441A2A" w14:paraId="1AF80AB7" w14:textId="77777777" w:rsidTr="006D3D0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441A2A" w:rsidRDefault="00441A2A" w:rsidP="00441A2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380FF788" w14:textId="4C28B1F2" w:rsidR="00441A2A" w:rsidRDefault="00DF6970" w:rsidP="00DF6970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листопада</w:t>
            </w:r>
            <w:r w:rsidR="00441A2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77C98EDB" w14:textId="41B07B62" w:rsidR="00441A2A" w:rsidRDefault="00E704FB" w:rsidP="00E704FB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грудн</w:t>
            </w:r>
            <w:r w:rsidR="00441A2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 202</w:t>
            </w: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</w:tc>
      </w:tr>
      <w:tr w:rsidR="002E3BA1" w14:paraId="7CA5D5A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2E3BA1" w:rsidRDefault="002E3BA1" w:rsidP="002E3BA1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40A666DC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7986C981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1,6</w:t>
            </w:r>
          </w:p>
        </w:tc>
      </w:tr>
      <w:tr w:rsidR="002E3BA1" w14:paraId="38574D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4AC4E0E2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42ED5BA4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6,4</w:t>
            </w:r>
          </w:p>
        </w:tc>
      </w:tr>
      <w:tr w:rsidR="002E3BA1" w14:paraId="3885A02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7DF42B91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26E16D22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2E3BA1" w14:paraId="6995D234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D26F57" w14:textId="1B386858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312480ED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12,5</w:t>
            </w:r>
          </w:p>
        </w:tc>
      </w:tr>
      <w:tr w:rsidR="00B75252" w14:paraId="796736F0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B75252" w:rsidRDefault="00B75252" w:rsidP="00B7525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6CB3E25" w14:textId="5E07A573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6072DA30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75252" w14:paraId="267F07D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B75252" w:rsidRDefault="00B75252" w:rsidP="00B7525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C663276" w14:textId="6663106E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31295854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2,2</w:t>
            </w:r>
          </w:p>
        </w:tc>
      </w:tr>
      <w:tr w:rsidR="00B75252" w14:paraId="3822A16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B75252" w:rsidRDefault="00B75252" w:rsidP="00B7525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73762EA" w14:textId="017A3C22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1A2E4FC8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75252" w14:paraId="2020185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B75252" w:rsidRDefault="00B75252" w:rsidP="00B7525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D8DBDA0" w14:textId="4961949B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7DB76725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75252" w14:paraId="185DB6F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B75252" w:rsidRDefault="00B75252" w:rsidP="00B7525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D6A8DC9" w14:textId="3F8ED740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7FFCFF2F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2E3BA1" w14:paraId="716AAAA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2E3BA1" w:rsidRDefault="002E3BA1" w:rsidP="002E3BA1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65E4887E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27D69AF2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</w:tr>
      <w:tr w:rsidR="002E3BA1" w14:paraId="4C5A6C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2E3BA1" w:rsidRDefault="002E3BA1" w:rsidP="002E3BA1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0B55263D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6F030CE7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5,6</w:t>
            </w:r>
          </w:p>
        </w:tc>
      </w:tr>
      <w:tr w:rsidR="002E3BA1" w14:paraId="19A6E21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5CA8AB2E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–2,1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6312F5B3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–0,4</w:t>
            </w:r>
          </w:p>
        </w:tc>
      </w:tr>
      <w:tr w:rsidR="002E3BA1" w14:paraId="7C49B8B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4DBBE651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6968B090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15,5</w:t>
            </w:r>
          </w:p>
        </w:tc>
      </w:tr>
      <w:tr w:rsidR="002E3BA1" w14:paraId="2A7379AA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2E3BA1" w:rsidRDefault="002E3BA1" w:rsidP="002E3BA1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3C7F8CC4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704A6AA9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4,2</w:t>
            </w:r>
          </w:p>
        </w:tc>
      </w:tr>
      <w:tr w:rsidR="002E3BA1" w14:paraId="132A8E02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0447FECB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71EADA3D" w:rsidR="002E3BA1" w:rsidRPr="002E3BA1" w:rsidRDefault="00DF6970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6,3</w:t>
            </w:r>
          </w:p>
        </w:tc>
      </w:tr>
      <w:tr w:rsidR="00B75252" w14:paraId="57ADED9F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B75252" w:rsidRDefault="00B75252" w:rsidP="00B7525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59065F14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59C3584F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9,5</w:t>
            </w:r>
          </w:p>
        </w:tc>
      </w:tr>
      <w:tr w:rsidR="00B75252" w14:paraId="787FFB3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B75252" w:rsidRDefault="00B75252" w:rsidP="00B75252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647A57FB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361FBC2C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13,1</w:t>
            </w:r>
          </w:p>
        </w:tc>
      </w:tr>
      <w:tr w:rsidR="00B75252" w14:paraId="54CE2ECE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B75252" w:rsidRDefault="00B75252" w:rsidP="00B75252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448E3098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7A82A5EB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9,3</w:t>
            </w:r>
          </w:p>
        </w:tc>
      </w:tr>
      <w:tr w:rsidR="00B75252" w14:paraId="74EEDFC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B75252" w:rsidRDefault="00B75252" w:rsidP="00B7525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1DEB0D17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01242295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10,5</w:t>
            </w:r>
          </w:p>
        </w:tc>
      </w:tr>
      <w:tr w:rsidR="00B75252" w14:paraId="6028202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B75252" w:rsidRDefault="00B75252" w:rsidP="00B7525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5D61E4F9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624F6B7E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–1,3</w:t>
            </w:r>
          </w:p>
        </w:tc>
      </w:tr>
      <w:tr w:rsidR="00B75252" w14:paraId="7340ED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B75252" w:rsidRDefault="00B75252" w:rsidP="00B7525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0F9A1873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1BDBB7EA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21,0</w:t>
            </w:r>
          </w:p>
        </w:tc>
      </w:tr>
      <w:tr w:rsidR="00B75252" w14:paraId="5FC366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B75252" w:rsidRDefault="00B75252" w:rsidP="00B7525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25A8AE26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572B439B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8,2</w:t>
            </w:r>
          </w:p>
        </w:tc>
      </w:tr>
      <w:tr w:rsidR="00B75252" w14:paraId="53E5D2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B75252" w:rsidRDefault="00B75252" w:rsidP="00B7525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532DAE63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31CD629B" w:rsidR="00B75252" w:rsidRPr="002E3BA1" w:rsidRDefault="00DF6970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13,9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65705A">
        <w:trPr>
          <w:trHeight w:val="1987"/>
        </w:trPr>
        <w:tc>
          <w:tcPr>
            <w:tcW w:w="4890" w:type="dxa"/>
          </w:tcPr>
          <w:p w14:paraId="1E302E4A" w14:textId="0C847EAD" w:rsidR="00571465" w:rsidRDefault="00987459" w:rsidP="006E3757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987459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продукти харчування та безалкогольні напої у грудні </w:t>
            </w:r>
            <w:r w:rsidR="000D3E32">
              <w:rPr>
                <w:rFonts w:ascii="Calibri" w:hAnsi="Calibri"/>
                <w:color w:val="22517D"/>
                <w:sz w:val="22"/>
                <w:szCs w:val="22"/>
              </w:rPr>
              <w:t>2025р</w:t>
            </w:r>
            <w:r w:rsidRPr="00987459">
              <w:rPr>
                <w:rFonts w:ascii="Calibri" w:hAnsi="Calibri"/>
                <w:color w:val="22517D"/>
                <w:sz w:val="22"/>
                <w:szCs w:val="22"/>
              </w:rPr>
              <w:t xml:space="preserve">. підвищились на 0,1%. Найбільше подорожчало сало – на 6,0%. На 4,0–1,7% зросли ціни на продукти переробки зернових, яйця, овочі, олію соняшникову, молоко, рибу та продукти з риби. Водночас подешевшали масло на 5,1%, цукор – на 4,3%, макаронні вироби – на 4,0%, рис – </w:t>
            </w:r>
            <w:r w:rsidR="00917A66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Pr="00987459">
              <w:rPr>
                <w:rFonts w:ascii="Calibri" w:hAnsi="Calibri"/>
                <w:color w:val="22517D"/>
                <w:sz w:val="22"/>
                <w:szCs w:val="22"/>
              </w:rPr>
              <w:t xml:space="preserve">1,9%, м'ясо та м'ясопродукти </w:t>
            </w:r>
            <w:r w:rsidR="008652DF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Pr="0098745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917A66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Pr="00987459">
              <w:rPr>
                <w:rFonts w:ascii="Calibri" w:hAnsi="Calibri"/>
                <w:color w:val="22517D"/>
                <w:sz w:val="22"/>
                <w:szCs w:val="22"/>
              </w:rPr>
              <w:t>1,5%</w:t>
            </w:r>
            <w:r w:rsidR="00A64061" w:rsidRPr="00A64061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4B1014F8" w14:textId="77777777" w:rsidR="00571465" w:rsidRDefault="00571465" w:rsidP="006E3757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583E8A4A" w14:textId="03F4B997" w:rsidR="00074587" w:rsidRDefault="00987459" w:rsidP="006E375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987459">
              <w:rPr>
                <w:rFonts w:ascii="Calibri" w:hAnsi="Calibri"/>
                <w:color w:val="22517D"/>
                <w:sz w:val="22"/>
                <w:szCs w:val="22"/>
              </w:rPr>
              <w:t>Алкогольні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напої, тютюнові вироби стали к</w:t>
            </w:r>
            <w:r w:rsidRPr="00987459">
              <w:rPr>
                <w:rFonts w:ascii="Calibri" w:hAnsi="Calibri"/>
                <w:color w:val="22517D"/>
                <w:sz w:val="22"/>
                <w:szCs w:val="22"/>
              </w:rPr>
              <w:t>оштувати на 0,3% більше під впливом подорожчання тютюнових виробів на 1,3%</w:t>
            </w:r>
          </w:p>
          <w:p w14:paraId="13AC90BC" w14:textId="77777777" w:rsidR="00DE7314" w:rsidRDefault="00DE7314" w:rsidP="0007458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2804B91E" w14:textId="1FD3271D" w:rsidR="00074587" w:rsidRDefault="00987459" w:rsidP="0007458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987459">
              <w:rPr>
                <w:rFonts w:ascii="Calibri" w:hAnsi="Calibri"/>
                <w:color w:val="22517D"/>
                <w:sz w:val="22"/>
                <w:szCs w:val="22"/>
              </w:rPr>
              <w:t>Ціни на одяг і взуття знизились на 6,8%, зокрема на одяг – на 7,5%, взуття – на 6,0%.</w:t>
            </w:r>
          </w:p>
          <w:p w14:paraId="1F86B964" w14:textId="77777777" w:rsidR="00987459" w:rsidRDefault="00987459" w:rsidP="0007458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324B6FB9" w14:textId="64AEC89E" w:rsidR="00987459" w:rsidRDefault="00987459" w:rsidP="0007458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987459">
              <w:rPr>
                <w:rFonts w:ascii="Calibri" w:hAnsi="Calibri"/>
                <w:color w:val="22517D"/>
                <w:sz w:val="22"/>
                <w:szCs w:val="22"/>
              </w:rPr>
              <w:t xml:space="preserve">У сфері охорони здоров’я ціни знизились на 1,2% внаслідок </w:t>
            </w:r>
            <w:proofErr w:type="spellStart"/>
            <w:r w:rsidRPr="00987459">
              <w:rPr>
                <w:rFonts w:ascii="Calibri" w:hAnsi="Calibri"/>
                <w:color w:val="22517D"/>
                <w:sz w:val="22"/>
                <w:szCs w:val="22"/>
              </w:rPr>
              <w:t>подешевшання</w:t>
            </w:r>
            <w:proofErr w:type="spellEnd"/>
            <w:r w:rsidRPr="00987459">
              <w:rPr>
                <w:rFonts w:ascii="Calibri" w:hAnsi="Calibri"/>
                <w:color w:val="22517D"/>
                <w:sz w:val="22"/>
                <w:szCs w:val="22"/>
              </w:rPr>
              <w:t xml:space="preserve"> фармацевтичної продукції, медичних товарів та обладнання на 2,1%.</w:t>
            </w:r>
          </w:p>
          <w:p w14:paraId="20F10F4F" w14:textId="77777777" w:rsidR="00987459" w:rsidRPr="00074587" w:rsidRDefault="00987459" w:rsidP="0007458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39A64477" w14:textId="033DF928" w:rsidR="001754FB" w:rsidRDefault="00987459" w:rsidP="0007458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987459">
              <w:rPr>
                <w:rFonts w:ascii="Calibri" w:hAnsi="Calibri"/>
                <w:color w:val="22517D"/>
                <w:sz w:val="22"/>
                <w:szCs w:val="22"/>
              </w:rPr>
              <w:t>Ціни на транспорт зросли на 0,6% в основному під впливом подорожчання газу скрапленого для автомобілів на 7,4% та дизельного пального – на 1,7%.</w:t>
            </w:r>
          </w:p>
          <w:p w14:paraId="015F9F8E" w14:textId="19D7B901" w:rsidR="00273B54" w:rsidRPr="00D25EC4" w:rsidRDefault="00273B54" w:rsidP="00273B54">
            <w:pPr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36DE3FC9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171EF23A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408B877D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462A62B4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10B95FE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</w:t>
            </w:r>
            <w:r w:rsidR="00E5531D">
              <w:rPr>
                <w:rFonts w:ascii="Calibri" w:hAnsi="Calibri"/>
                <w:color w:val="22517D"/>
                <w:sz w:val="22"/>
                <w:szCs w:val="22"/>
              </w:rPr>
              <w:t>17-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      </w:r>
            <w:proofErr w:type="spellStart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24860C03" w14:textId="77777777" w:rsidR="00E5531D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</w:p>
          <w:p w14:paraId="39178BC2" w14:textId="4587A7A8" w:rsidR="006E3757" w:rsidRDefault="00E5531D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E5531D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https://stat.gov.ua/sites/default/files/migration/files/2023/190 2023/190 2023.pdf.</w:t>
            </w:r>
          </w:p>
          <w:p w14:paraId="7E9EBC46" w14:textId="4F974BFF"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7313A8CD" w14:textId="77777777" w:rsidR="00356050" w:rsidRDefault="00356050" w:rsidP="00183730">
      <w:pPr>
        <w:pStyle w:val="--12"/>
        <w:ind w:firstLine="0"/>
      </w:pPr>
    </w:p>
    <w:p w14:paraId="36CB1252" w14:textId="77777777" w:rsidR="00C60352" w:rsidRDefault="00C60352" w:rsidP="00183730">
      <w:pPr>
        <w:pStyle w:val="--12"/>
        <w:ind w:firstLine="0"/>
      </w:pPr>
    </w:p>
    <w:p w14:paraId="278AABC2" w14:textId="77777777" w:rsidR="00C60352" w:rsidRDefault="00C60352" w:rsidP="00183730">
      <w:pPr>
        <w:pStyle w:val="--12"/>
        <w:ind w:firstLine="0"/>
      </w:pPr>
    </w:p>
    <w:p w14:paraId="0DEBEE66" w14:textId="77777777" w:rsidR="00C60352" w:rsidRDefault="00C60352" w:rsidP="00183730">
      <w:pPr>
        <w:pStyle w:val="--12"/>
        <w:ind w:firstLine="0"/>
      </w:pPr>
    </w:p>
    <w:p w14:paraId="2F256605" w14:textId="77777777" w:rsidR="00C60352" w:rsidRDefault="00C60352" w:rsidP="00183730">
      <w:pPr>
        <w:pStyle w:val="--12"/>
        <w:ind w:firstLine="0"/>
      </w:pPr>
    </w:p>
    <w:p w14:paraId="48C792AD" w14:textId="77777777" w:rsidR="00C60352" w:rsidRDefault="00C60352" w:rsidP="00183730">
      <w:pPr>
        <w:pStyle w:val="--12"/>
        <w:ind w:firstLine="0"/>
      </w:pPr>
    </w:p>
    <w:p w14:paraId="24E4BFBA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4762FA80" w14:textId="77777777" w:rsidR="00356050" w:rsidRDefault="00356050" w:rsidP="00356050">
      <w:pPr>
        <w:pStyle w:val="--12"/>
        <w:ind w:firstLine="0"/>
      </w:pPr>
    </w:p>
    <w:p w14:paraId="6D472E2D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14:paraId="5C7F195D" w14:textId="77777777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61B12C31" w14:textId="3878B12F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0512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50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08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41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="00C60352" w:rsidRP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gus@mk.ukrstat.gov.ua</w:t>
            </w:r>
          </w:p>
          <w:p w14:paraId="64F92E3D" w14:textId="11E8A3B9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Більше інформації: </w:t>
            </w:r>
            <w:hyperlink r:id="rId27" w:history="1">
              <w:r w:rsidR="00C60352" w:rsidRPr="00C60352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https://www.mk.ukrstat.gov.ua/stat_inf.htm</w:t>
              </w:r>
            </w:hyperlink>
          </w:p>
          <w:p w14:paraId="5880B3D0" w14:textId="0349BD41" w:rsidR="00356050" w:rsidRPr="00356050" w:rsidRDefault="00356050" w:rsidP="00987459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Миколаївській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</w:t>
            </w:r>
            <w:r w:rsidR="00987459">
              <w:rPr>
                <w:rFonts w:ascii="Calibri Light" w:hAnsi="Calibri Light" w:cs="Calibri Light"/>
                <w:color w:val="666666"/>
                <w:sz w:val="20"/>
                <w:szCs w:val="20"/>
              </w:rPr>
              <w:t>6</w:t>
            </w:r>
          </w:p>
        </w:tc>
      </w:tr>
      <w:bookmarkEnd w:id="0"/>
      <w:bookmarkEnd w:id="2"/>
    </w:tbl>
    <w:p w14:paraId="4AA0BA23" w14:textId="10CFA3F1" w:rsidR="00356050" w:rsidRPr="00356050" w:rsidRDefault="00356050" w:rsidP="00356050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74633" w14:textId="77777777" w:rsidR="00BC5F7E" w:rsidRDefault="00BC5F7E" w:rsidP="005345A4">
      <w:r>
        <w:separator/>
      </w:r>
    </w:p>
  </w:endnote>
  <w:endnote w:type="continuationSeparator" w:id="0">
    <w:p w14:paraId="71914DB8" w14:textId="77777777" w:rsidR="00BC5F7E" w:rsidRDefault="00BC5F7E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C7506A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A78F5" w14:textId="77777777" w:rsidR="00BC5F7E" w:rsidRDefault="00BC5F7E" w:rsidP="005345A4">
      <w:r>
        <w:separator/>
      </w:r>
    </w:p>
  </w:footnote>
  <w:footnote w:type="continuationSeparator" w:id="0">
    <w:p w14:paraId="5817B92D" w14:textId="77777777" w:rsidR="00BC5F7E" w:rsidRDefault="00BC5F7E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45pt;height:39.45pt;visibility:visible;mso-wrap-style:square" o:bullet="t">
        <v:imagedata r:id="rId1" o:title=""/>
      </v:shape>
    </w:pict>
  </w:numPicBullet>
  <w:numPicBullet w:numPicBulletId="1">
    <w:pict>
      <v:shape id="_x0000_i1027" type="#_x0000_t75" style="width:36.95pt;height:36.95pt;visibility:visible;mso-wrap-style:square" o:bullet="t">
        <v:imagedata r:id="rId2" o:title=""/>
      </v:shape>
    </w:pict>
  </w:numPicBullet>
  <w:numPicBullet w:numPicBulletId="2">
    <w:pict>
      <v:shape id="_x0000_i1028" type="#_x0000_t75" style="width:36.3pt;height:36.3pt;visibility:visible;mso-wrap-style:square" o:bullet="t">
        <v:imagedata r:id="rId3" o:title=""/>
      </v:shape>
    </w:pict>
  </w:numPicBullet>
  <w:numPicBullet w:numPicBulletId="3">
    <w:pict>
      <v:shape id="_x0000_i1029" type="#_x0000_t75" style="width:36.95pt;height:36.95pt;visibility:visible;mso-wrap-style:square" o:bullet="t">
        <v:imagedata r:id="rId4" o:title=""/>
      </v:shape>
    </w:pict>
  </w:numPicBullet>
  <w:numPicBullet w:numPicBulletId="4">
    <w:pict>
      <v:shape id="_x0000_i1030" type="#_x0000_t75" style="width:37.55pt;height:36.95pt;visibility:visible;mso-wrap-style:square" o:bullet="t">
        <v:imagedata r:id="rId5" o:title=""/>
      </v:shape>
    </w:pict>
  </w:numPicBullet>
  <w:numPicBullet w:numPicBulletId="5">
    <w:pict>
      <v:shape id="_x0000_i1031" type="#_x0000_t75" style="width:37.55pt;height:36.95pt;visibility:visible;mso-wrap-style:square" o:bullet="t">
        <v:imagedata r:id="rId6" o:title=""/>
      </v:shape>
    </w:pict>
  </w:numPicBullet>
  <w:numPicBullet w:numPicBulletId="6">
    <w:pict>
      <v:shape id="_x0000_i1032" type="#_x0000_t75" style="width:37.55pt;height:36.95pt;visibility:visible;mso-wrap-style:square" o:bullet="t">
        <v:imagedata r:id="rId7" o:title=""/>
      </v:shape>
    </w:pict>
  </w:numPicBullet>
  <w:numPicBullet w:numPicBulletId="7">
    <w:pict>
      <v:shape id="_x0000_i1033" type="#_x0000_t75" style="width:37.55pt;height:37.55pt;visibility:visible;mso-wrap-style:square" o:bullet="t">
        <v:imagedata r:id="rId8" o:title=""/>
      </v:shape>
    </w:pict>
  </w:numPicBullet>
  <w:numPicBullet w:numPicBulletId="8">
    <w:pict>
      <v:shape id="_x0000_i1034" type="#_x0000_t75" style="width:37.55pt;height:37.55pt;visibility:visible;mso-wrap-style:square" o:bullet="t">
        <v:imagedata r:id="rId9" o:title=""/>
      </v:shape>
    </w:pict>
  </w:numPicBullet>
  <w:numPicBullet w:numPicBulletId="9">
    <w:pict>
      <v:shape id="_x0000_i1035" type="#_x0000_t75" style="width:37.55pt;height:37.5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5pt;height:37.5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15pt;height:8.1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42"/>
    <w:rsid w:val="00033FB7"/>
    <w:rsid w:val="00036C25"/>
    <w:rsid w:val="00036E1E"/>
    <w:rsid w:val="00041033"/>
    <w:rsid w:val="00041E05"/>
    <w:rsid w:val="00045C8C"/>
    <w:rsid w:val="000520B6"/>
    <w:rsid w:val="00062027"/>
    <w:rsid w:val="00062038"/>
    <w:rsid w:val="00062D72"/>
    <w:rsid w:val="000731E6"/>
    <w:rsid w:val="00074587"/>
    <w:rsid w:val="0007552B"/>
    <w:rsid w:val="000802BE"/>
    <w:rsid w:val="00081F76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2996"/>
    <w:rsid w:val="000B6D17"/>
    <w:rsid w:val="000C2BAC"/>
    <w:rsid w:val="000C43BC"/>
    <w:rsid w:val="000C747A"/>
    <w:rsid w:val="000D3E32"/>
    <w:rsid w:val="000D4C6A"/>
    <w:rsid w:val="000D5FBC"/>
    <w:rsid w:val="000D6D0E"/>
    <w:rsid w:val="000D7438"/>
    <w:rsid w:val="000D7EE3"/>
    <w:rsid w:val="000E0309"/>
    <w:rsid w:val="000E0CE2"/>
    <w:rsid w:val="000E28DC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2BC"/>
    <w:rsid w:val="001553ED"/>
    <w:rsid w:val="00156C7E"/>
    <w:rsid w:val="00160825"/>
    <w:rsid w:val="00160BA9"/>
    <w:rsid w:val="00160EB7"/>
    <w:rsid w:val="001631D6"/>
    <w:rsid w:val="0016401D"/>
    <w:rsid w:val="001658D8"/>
    <w:rsid w:val="00170120"/>
    <w:rsid w:val="0017140C"/>
    <w:rsid w:val="001735B4"/>
    <w:rsid w:val="00173727"/>
    <w:rsid w:val="001754FB"/>
    <w:rsid w:val="00176453"/>
    <w:rsid w:val="00177C5D"/>
    <w:rsid w:val="00180595"/>
    <w:rsid w:val="00181A10"/>
    <w:rsid w:val="00183730"/>
    <w:rsid w:val="001909B1"/>
    <w:rsid w:val="001925AD"/>
    <w:rsid w:val="0019449F"/>
    <w:rsid w:val="001972A8"/>
    <w:rsid w:val="00197F57"/>
    <w:rsid w:val="001A05A7"/>
    <w:rsid w:val="001A1A5D"/>
    <w:rsid w:val="001A20ED"/>
    <w:rsid w:val="001A3F59"/>
    <w:rsid w:val="001B4503"/>
    <w:rsid w:val="001B6234"/>
    <w:rsid w:val="001B77EB"/>
    <w:rsid w:val="001C0BCF"/>
    <w:rsid w:val="001C3E58"/>
    <w:rsid w:val="001C5915"/>
    <w:rsid w:val="001C5AB9"/>
    <w:rsid w:val="001C76A2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0A5E"/>
    <w:rsid w:val="001F107C"/>
    <w:rsid w:val="001F3727"/>
    <w:rsid w:val="001F54C8"/>
    <w:rsid w:val="0020013A"/>
    <w:rsid w:val="0020157E"/>
    <w:rsid w:val="00203BB1"/>
    <w:rsid w:val="00206923"/>
    <w:rsid w:val="002103DC"/>
    <w:rsid w:val="00211389"/>
    <w:rsid w:val="002117EE"/>
    <w:rsid w:val="00211DAE"/>
    <w:rsid w:val="0021258A"/>
    <w:rsid w:val="002141FD"/>
    <w:rsid w:val="002146C9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2594B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3B54"/>
    <w:rsid w:val="00275999"/>
    <w:rsid w:val="002823AD"/>
    <w:rsid w:val="0028317C"/>
    <w:rsid w:val="0028485E"/>
    <w:rsid w:val="00287D35"/>
    <w:rsid w:val="00290827"/>
    <w:rsid w:val="00290F4A"/>
    <w:rsid w:val="002922F3"/>
    <w:rsid w:val="0029251B"/>
    <w:rsid w:val="00294482"/>
    <w:rsid w:val="002A0A2C"/>
    <w:rsid w:val="002A1436"/>
    <w:rsid w:val="002A31AA"/>
    <w:rsid w:val="002A510E"/>
    <w:rsid w:val="002A7545"/>
    <w:rsid w:val="002B172C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3BA1"/>
    <w:rsid w:val="002E5C22"/>
    <w:rsid w:val="002E65B7"/>
    <w:rsid w:val="002F06D7"/>
    <w:rsid w:val="002F1C34"/>
    <w:rsid w:val="002F1C69"/>
    <w:rsid w:val="002F710E"/>
    <w:rsid w:val="002F7374"/>
    <w:rsid w:val="0030068F"/>
    <w:rsid w:val="00303464"/>
    <w:rsid w:val="003062A4"/>
    <w:rsid w:val="00307615"/>
    <w:rsid w:val="0031286A"/>
    <w:rsid w:val="00312D19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64D1"/>
    <w:rsid w:val="00347928"/>
    <w:rsid w:val="003505A3"/>
    <w:rsid w:val="00351AF5"/>
    <w:rsid w:val="00354C77"/>
    <w:rsid w:val="00355962"/>
    <w:rsid w:val="00356050"/>
    <w:rsid w:val="00357A0C"/>
    <w:rsid w:val="003644C8"/>
    <w:rsid w:val="0036625E"/>
    <w:rsid w:val="003666C0"/>
    <w:rsid w:val="00371BCE"/>
    <w:rsid w:val="0037204B"/>
    <w:rsid w:val="0037273F"/>
    <w:rsid w:val="0037353B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345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1A2A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4B9F"/>
    <w:rsid w:val="004650F4"/>
    <w:rsid w:val="0046766F"/>
    <w:rsid w:val="00467828"/>
    <w:rsid w:val="00471705"/>
    <w:rsid w:val="0047250F"/>
    <w:rsid w:val="00472928"/>
    <w:rsid w:val="00475F22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869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4037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465"/>
    <w:rsid w:val="00571E23"/>
    <w:rsid w:val="00571EE8"/>
    <w:rsid w:val="005756D8"/>
    <w:rsid w:val="005805F8"/>
    <w:rsid w:val="00580FB3"/>
    <w:rsid w:val="00590EBA"/>
    <w:rsid w:val="00592BEE"/>
    <w:rsid w:val="00593E50"/>
    <w:rsid w:val="005955F6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4704"/>
    <w:rsid w:val="00636A5D"/>
    <w:rsid w:val="00641475"/>
    <w:rsid w:val="00641EE2"/>
    <w:rsid w:val="006438DC"/>
    <w:rsid w:val="00651839"/>
    <w:rsid w:val="00653544"/>
    <w:rsid w:val="00656AB2"/>
    <w:rsid w:val="0065705A"/>
    <w:rsid w:val="0066252C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7D5"/>
    <w:rsid w:val="00687887"/>
    <w:rsid w:val="00693570"/>
    <w:rsid w:val="00693F3B"/>
    <w:rsid w:val="006A0065"/>
    <w:rsid w:val="006A16FA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51C4"/>
    <w:rsid w:val="006D7347"/>
    <w:rsid w:val="006D7A38"/>
    <w:rsid w:val="006E032D"/>
    <w:rsid w:val="006E079C"/>
    <w:rsid w:val="006E33AA"/>
    <w:rsid w:val="006E3757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2ACB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3E3F"/>
    <w:rsid w:val="007B4B67"/>
    <w:rsid w:val="007B65F6"/>
    <w:rsid w:val="007C28C8"/>
    <w:rsid w:val="007C35C2"/>
    <w:rsid w:val="007C62D9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1374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977"/>
    <w:rsid w:val="00857D6C"/>
    <w:rsid w:val="00860C51"/>
    <w:rsid w:val="00860FC1"/>
    <w:rsid w:val="008652DF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A569F"/>
    <w:rsid w:val="008B2BAA"/>
    <w:rsid w:val="008B4265"/>
    <w:rsid w:val="008B580D"/>
    <w:rsid w:val="008B7E7B"/>
    <w:rsid w:val="008C24EB"/>
    <w:rsid w:val="008C75DC"/>
    <w:rsid w:val="008D1F4E"/>
    <w:rsid w:val="008D5B25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17A66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75B"/>
    <w:rsid w:val="00971AEF"/>
    <w:rsid w:val="009726BA"/>
    <w:rsid w:val="009729D6"/>
    <w:rsid w:val="00985DAE"/>
    <w:rsid w:val="00986C79"/>
    <w:rsid w:val="0098745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1BC9"/>
    <w:rsid w:val="009F7EBB"/>
    <w:rsid w:val="00A01926"/>
    <w:rsid w:val="00A01EB5"/>
    <w:rsid w:val="00A02EA0"/>
    <w:rsid w:val="00A03D04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45BB1"/>
    <w:rsid w:val="00A463BA"/>
    <w:rsid w:val="00A516C5"/>
    <w:rsid w:val="00A54514"/>
    <w:rsid w:val="00A56C6B"/>
    <w:rsid w:val="00A6214C"/>
    <w:rsid w:val="00A64061"/>
    <w:rsid w:val="00A64F1A"/>
    <w:rsid w:val="00A66B72"/>
    <w:rsid w:val="00A67BF6"/>
    <w:rsid w:val="00A745A7"/>
    <w:rsid w:val="00A761E9"/>
    <w:rsid w:val="00A811B9"/>
    <w:rsid w:val="00A830DC"/>
    <w:rsid w:val="00A835D1"/>
    <w:rsid w:val="00A84623"/>
    <w:rsid w:val="00A85599"/>
    <w:rsid w:val="00A859E3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247D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B05EEA"/>
    <w:rsid w:val="00B0783F"/>
    <w:rsid w:val="00B128E5"/>
    <w:rsid w:val="00B12F81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362A"/>
    <w:rsid w:val="00B65DF9"/>
    <w:rsid w:val="00B66945"/>
    <w:rsid w:val="00B67AD2"/>
    <w:rsid w:val="00B74068"/>
    <w:rsid w:val="00B742D2"/>
    <w:rsid w:val="00B75252"/>
    <w:rsid w:val="00B76241"/>
    <w:rsid w:val="00B763BC"/>
    <w:rsid w:val="00B766B9"/>
    <w:rsid w:val="00B76B2F"/>
    <w:rsid w:val="00B77832"/>
    <w:rsid w:val="00B7787B"/>
    <w:rsid w:val="00B816F5"/>
    <w:rsid w:val="00B834D4"/>
    <w:rsid w:val="00B862BA"/>
    <w:rsid w:val="00B92EB6"/>
    <w:rsid w:val="00B9457F"/>
    <w:rsid w:val="00B958CA"/>
    <w:rsid w:val="00B9620F"/>
    <w:rsid w:val="00BA0DAC"/>
    <w:rsid w:val="00BA3D5E"/>
    <w:rsid w:val="00BA5516"/>
    <w:rsid w:val="00BA60F5"/>
    <w:rsid w:val="00BA75C3"/>
    <w:rsid w:val="00BB39B6"/>
    <w:rsid w:val="00BB3F8D"/>
    <w:rsid w:val="00BB6E4A"/>
    <w:rsid w:val="00BB6EA4"/>
    <w:rsid w:val="00BC08AA"/>
    <w:rsid w:val="00BC3E36"/>
    <w:rsid w:val="00BC4175"/>
    <w:rsid w:val="00BC5429"/>
    <w:rsid w:val="00BC5DB4"/>
    <w:rsid w:val="00BC5F7E"/>
    <w:rsid w:val="00BC6566"/>
    <w:rsid w:val="00BE0C4A"/>
    <w:rsid w:val="00BE0D3A"/>
    <w:rsid w:val="00BE344F"/>
    <w:rsid w:val="00BE47D5"/>
    <w:rsid w:val="00BE70F0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8D5"/>
    <w:rsid w:val="00C411E9"/>
    <w:rsid w:val="00C435D9"/>
    <w:rsid w:val="00C439C2"/>
    <w:rsid w:val="00C52D1A"/>
    <w:rsid w:val="00C5570B"/>
    <w:rsid w:val="00C55F91"/>
    <w:rsid w:val="00C57848"/>
    <w:rsid w:val="00C60352"/>
    <w:rsid w:val="00C6243C"/>
    <w:rsid w:val="00C6318A"/>
    <w:rsid w:val="00C66A28"/>
    <w:rsid w:val="00C66BCC"/>
    <w:rsid w:val="00C72B29"/>
    <w:rsid w:val="00C7506A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6DD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688"/>
    <w:rsid w:val="00D13BC4"/>
    <w:rsid w:val="00D1568E"/>
    <w:rsid w:val="00D157F5"/>
    <w:rsid w:val="00D158AB"/>
    <w:rsid w:val="00D2068A"/>
    <w:rsid w:val="00D20B3F"/>
    <w:rsid w:val="00D21038"/>
    <w:rsid w:val="00D25EC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97B21"/>
    <w:rsid w:val="00DA031E"/>
    <w:rsid w:val="00DA2973"/>
    <w:rsid w:val="00DA2B2C"/>
    <w:rsid w:val="00DA49CB"/>
    <w:rsid w:val="00DA59D1"/>
    <w:rsid w:val="00DA66D5"/>
    <w:rsid w:val="00DA7086"/>
    <w:rsid w:val="00DB0B4A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E7314"/>
    <w:rsid w:val="00DE75EA"/>
    <w:rsid w:val="00DF00E6"/>
    <w:rsid w:val="00DF0E32"/>
    <w:rsid w:val="00DF0F03"/>
    <w:rsid w:val="00DF1856"/>
    <w:rsid w:val="00DF3C19"/>
    <w:rsid w:val="00DF6970"/>
    <w:rsid w:val="00E02D0D"/>
    <w:rsid w:val="00E052DA"/>
    <w:rsid w:val="00E116C1"/>
    <w:rsid w:val="00E14E96"/>
    <w:rsid w:val="00E15577"/>
    <w:rsid w:val="00E1756A"/>
    <w:rsid w:val="00E20398"/>
    <w:rsid w:val="00E21352"/>
    <w:rsid w:val="00E2317A"/>
    <w:rsid w:val="00E2356A"/>
    <w:rsid w:val="00E24775"/>
    <w:rsid w:val="00E27651"/>
    <w:rsid w:val="00E354E5"/>
    <w:rsid w:val="00E3733F"/>
    <w:rsid w:val="00E42236"/>
    <w:rsid w:val="00E45D5E"/>
    <w:rsid w:val="00E47188"/>
    <w:rsid w:val="00E512BB"/>
    <w:rsid w:val="00E52CED"/>
    <w:rsid w:val="00E54BE5"/>
    <w:rsid w:val="00E5531D"/>
    <w:rsid w:val="00E55777"/>
    <w:rsid w:val="00E5676C"/>
    <w:rsid w:val="00E57A9C"/>
    <w:rsid w:val="00E57CFF"/>
    <w:rsid w:val="00E6281B"/>
    <w:rsid w:val="00E64AE3"/>
    <w:rsid w:val="00E6594F"/>
    <w:rsid w:val="00E704FB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243B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3A7C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B32"/>
    <w:rsid w:val="00F46E7F"/>
    <w:rsid w:val="00F502DF"/>
    <w:rsid w:val="00F53C17"/>
    <w:rsid w:val="00F550CB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3F7"/>
    <w:rsid w:val="00FA0B21"/>
    <w:rsid w:val="00FA7C4A"/>
    <w:rsid w:val="00FB1099"/>
    <w:rsid w:val="00FB3567"/>
    <w:rsid w:val="00FB38CF"/>
    <w:rsid w:val="00FB4166"/>
    <w:rsid w:val="00FB4617"/>
    <w:rsid w:val="00FB51C0"/>
    <w:rsid w:val="00FB64A8"/>
    <w:rsid w:val="00FB6C57"/>
    <w:rsid w:val="00FB6E6D"/>
    <w:rsid w:val="00FB7297"/>
    <w:rsid w:val="00FC09A7"/>
    <w:rsid w:val="00FC340A"/>
    <w:rsid w:val="00FC50A6"/>
    <w:rsid w:val="00FC7B1A"/>
    <w:rsid w:val="00FD58F5"/>
    <w:rsid w:val="00FD6173"/>
    <w:rsid w:val="00FD756E"/>
    <w:rsid w:val="00FE0719"/>
    <w:rsid w:val="00FE2182"/>
    <w:rsid w:val="00FE605D"/>
    <w:rsid w:val="00FE799B"/>
    <w:rsid w:val="00FF0370"/>
    <w:rsid w:val="00FF0AFE"/>
    <w:rsid w:val="00FF3212"/>
    <w:rsid w:val="00FF4E21"/>
    <w:rsid w:val="00FF6941"/>
    <w:rsid w:val="00FF7140"/>
    <w:rsid w:val="0C25E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hyperlink" Target="https://www.mk.ukrstat.gov.ua/stat_inf.htm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203498778778073"/>
          <c:y val="6.7590402162892874E-2"/>
          <c:w val="0.81101304106303618"/>
          <c:h val="0.58120454611980532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.61848815370643062"/>
                  <c:y val="1.3262620644876332E-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62744672033576987"/>
                  <c:y val="3.2032528546300759E-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0,6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60952958707709126"/>
                  <c:y val="0.2212063556266348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="1"/>
                      <a:t>-0,1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24157903554328944"/>
                  <c:y val="-6.267333345751517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25501688548729839"/>
                  <c:y val="-6.94323736738044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2639754521166377"/>
                  <c:y val="1.843514913795623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0.25497209265415177"/>
                  <c:y val="-0.1301844366446421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0.25501688548729839"/>
                  <c:y val="-0.2384083790810366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0.25497209265415172"/>
                  <c:y val="-0.3744284752510025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0.23705495939547311"/>
                  <c:y val="-0.1166663562120635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0.2773685092275"/>
                  <c:y val="0.255999446503793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0.26873477881334262"/>
                  <c:y val="0.2264672306296285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0.26273042297484372"/>
                  <c:y val="-9.7966699752257289E-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0,3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1.5</c:v>
                </c:pt>
                <c:pt idx="1">
                  <c:v>1.1000000000000001</c:v>
                </c:pt>
                <c:pt idx="2">
                  <c:v>1.1000000000000001</c:v>
                </c:pt>
                <c:pt idx="3">
                  <c:v>1.4</c:v>
                </c:pt>
                <c:pt idx="4">
                  <c:v>0.9</c:v>
                </c:pt>
                <c:pt idx="5">
                  <c:v>1.5</c:v>
                </c:pt>
                <c:pt idx="6">
                  <c:v>0.8</c:v>
                </c:pt>
                <c:pt idx="7">
                  <c:v>-0.4</c:v>
                </c:pt>
                <c:pt idx="8">
                  <c:v>-0.8</c:v>
                </c:pt>
                <c:pt idx="9">
                  <c:v>0.3</c:v>
                </c:pt>
                <c:pt idx="10">
                  <c:v>1.1000000000000001</c:v>
                </c:pt>
                <c:pt idx="11">
                  <c:v>0.6</c:v>
                </c:pt>
                <c:pt idx="12">
                  <c:v>-0.1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8544496"/>
        <c:axId val="208545056"/>
      </c:lineChart>
      <c:catAx>
        <c:axId val="208544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8545056"/>
        <c:crosses val="autoZero"/>
        <c:auto val="1"/>
        <c:lblAlgn val="ctr"/>
        <c:lblOffset val="100"/>
        <c:noMultiLvlLbl val="0"/>
      </c:catAx>
      <c:valAx>
        <c:axId val="208545056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8544496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82E-2"/>
                  <c:y val="-6.108682173430591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3,6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4,6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6,1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3404343494017334E-2"/>
                  <c:y val="-5.591429324122589E-2"/>
                </c:manualLayout>
              </c:layout>
              <c:tx>
                <c:rich>
                  <a:bodyPr/>
                  <a:lstStyle/>
                  <a:p>
                    <a:fld id="{7165F7BB-4C23-4FC9-AB5F-946BE2E9B90C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3404343494017417E-2"/>
                  <c:y val="-5.59142932412258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2362910123356638E-2"/>
                  <c:y val="-4.3235504652827488E-2"/>
                </c:manualLayout>
              </c:layout>
              <c:tx>
                <c:rich>
                  <a:bodyPr/>
                  <a:lstStyle/>
                  <a:p>
                    <a:fld id="{398E357E-DDE8-4C1B-A5AE-99111276DE27}" type="VALUE">
                      <a:rPr lang="en-US" b="0"/>
                      <a:pPr/>
                      <a:t>[ЗНАЧЕННЯ]</a:t>
                    </a:fld>
                    <a:r>
                      <a:rPr lang="en-US" b="0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7,2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8925060179347682E-2"/>
                  <c:y val="-4.8157363229224599E-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7,8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2374196506511713E-2"/>
                  <c:y val="-5.741245845452150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="1"/>
                      <a:t>7,7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1.1000000000000001</c:v>
                </c:pt>
                <c:pt idx="1">
                  <c:v>2.2000000000000002</c:v>
                </c:pt>
                <c:pt idx="2">
                  <c:v>3.6</c:v>
                </c:pt>
                <c:pt idx="3">
                  <c:v>4.5999999999999996</c:v>
                </c:pt>
                <c:pt idx="4">
                  <c:v>6.1</c:v>
                </c:pt>
                <c:pt idx="5">
                  <c:v>7</c:v>
                </c:pt>
                <c:pt idx="6">
                  <c:v>6.6</c:v>
                </c:pt>
                <c:pt idx="7">
                  <c:v>5.7</c:v>
                </c:pt>
                <c:pt idx="8">
                  <c:v>6</c:v>
                </c:pt>
                <c:pt idx="9">
                  <c:v>7.2</c:v>
                </c:pt>
                <c:pt idx="10">
                  <c:v>7.8</c:v>
                </c:pt>
                <c:pt idx="11">
                  <c:v>7.7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8547296"/>
        <c:axId val="208547856"/>
      </c:lineChart>
      <c:catAx>
        <c:axId val="208547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8547856"/>
        <c:crosses val="autoZero"/>
        <c:auto val="1"/>
        <c:lblAlgn val="ctr"/>
        <c:lblOffset val="100"/>
        <c:noMultiLvlLbl val="0"/>
      </c:catAx>
      <c:valAx>
        <c:axId val="208547856"/>
        <c:scaling>
          <c:orientation val="minMax"/>
          <c:max val="8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854729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.67874646865092081"/>
                  <c:y val="2.4505494991878072E-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1,5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6803571458229184"/>
                  <c:y val="-5.5835136965383593E-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1,4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66681071636768885"/>
                  <c:y val="3.066307268083906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="1"/>
                      <a:t>0,1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26965838297844069"/>
                  <c:y val="-0.1829400751550238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26965838297844069"/>
                  <c:y val="-8.175963670645722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26965838297844069"/>
                  <c:y val="5.314761455829825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0.26854894561930026"/>
                  <c:y val="-0.1120464916590316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0.2780954215778923"/>
                  <c:y val="-0.2841205136035904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0.27250671392294068"/>
                  <c:y val="-0.4682343880707997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0.25167486842039705"/>
                  <c:y val="-0.2581960138625168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0.28464060374651018"/>
                  <c:y val="0.28348935303828998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700" b="0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-1,1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>
                  <c15:layout>
                    <c:manualLayout>
                      <c:w val="7.1672642902341266E-2"/>
                      <c:h val="0.1410347315354552"/>
                    </c:manualLayout>
                  </c15:layout>
                </c:ext>
              </c:extLst>
            </c:dLbl>
            <c:dLbl>
              <c:idx val="11"/>
              <c:layout>
                <c:manualLayout>
                  <c:x val="-0.27757159441760365"/>
                  <c:y val="0.2913031739497992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-1,5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0.23177508316628107"/>
                  <c:y val="0.15639592268504379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-1,0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2.6</c:v>
                </c:pt>
                <c:pt idx="1">
                  <c:v>1.5</c:v>
                </c:pt>
                <c:pt idx="2">
                  <c:v>1.7</c:v>
                </c:pt>
                <c:pt idx="3">
                  <c:v>1.6</c:v>
                </c:pt>
                <c:pt idx="4">
                  <c:v>1.4</c:v>
                </c:pt>
                <c:pt idx="5">
                  <c:v>3.2</c:v>
                </c:pt>
                <c:pt idx="6">
                  <c:v>1.2</c:v>
                </c:pt>
                <c:pt idx="7">
                  <c:v>-1.1000000000000001</c:v>
                </c:pt>
                <c:pt idx="8">
                  <c:v>-1.5</c:v>
                </c:pt>
                <c:pt idx="9">
                  <c:v>-1</c:v>
                </c:pt>
                <c:pt idx="10">
                  <c:v>1.5</c:v>
                </c:pt>
                <c:pt idx="11">
                  <c:v>1.4</c:v>
                </c:pt>
                <c:pt idx="12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7955696"/>
        <c:axId val="247956256"/>
      </c:lineChart>
      <c:catAx>
        <c:axId val="247955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7956256"/>
        <c:crosses val="autoZero"/>
        <c:auto val="1"/>
        <c:lblAlgn val="ctr"/>
        <c:lblOffset val="200"/>
        <c:noMultiLvlLbl val="0"/>
      </c:catAx>
      <c:valAx>
        <c:axId val="247956256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795569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109704753474049E-2"/>
          <c:y val="5.1864933409462084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.82217612484159797"/>
                  <c:y val="-0.24530900753763288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="1"/>
                      <a:t>0,1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67613862652319257"/>
                  <c:y val="-0.21441843378346678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0,3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53607880326918633"/>
                  <c:y val="0.2555084914554314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2780954215778923"/>
                  <c:y val="4.409094731623976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29496949877679551"/>
                  <c:y val="-0.3176100879464266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27387690227816652"/>
                  <c:y val="-0.5876618289492903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0.24323782982094544"/>
                  <c:y val="-0.2019846591688686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0.26122134437898908"/>
                  <c:y val="-7.0517365767727602E-2"/>
                </c:manualLayout>
              </c:layout>
              <c:tx>
                <c:rich>
                  <a:bodyPr/>
                  <a:lstStyle/>
                  <a:p>
                    <a:fld id="{BF6FC512-E066-4719-9761-44987A56A20F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0.27250671392294068"/>
                  <c:y val="-7.475490521526292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</a:t>
                    </a:r>
                    <a:fld id="{F0F514BF-F1FA-4023-A51E-5A1D16BE54D0}" type="VALUE">
                      <a:rPr lang="en-US"/>
                      <a:pPr/>
                      <a:t>[ЗНАЧЕННЯ]</a:t>
                    </a:fld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0.15043040522697801"/>
                  <c:y val="0.44444591980808468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700" b="0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0,0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>
                  <c15:layout>
                    <c:manualLayout>
                      <c:w val="8.5045349082472063E-2"/>
                      <c:h val="0.1410347315354552"/>
                    </c:manualLayout>
                  </c15:layout>
                </c:ext>
              </c:extLst>
            </c:dLbl>
            <c:dLbl>
              <c:idx val="10"/>
              <c:layout>
                <c:manualLayout>
                  <c:x val="-0.2719852119307698"/>
                  <c:y val="5.533321825496929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0.42100125060828059"/>
                  <c:y val="0.3139054498457507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0.23599360246600687"/>
                  <c:y val="-0.4571328668233503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0,4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</c:v>
                </c:pt>
                <c:pt idx="1">
                  <c:v>0.2</c:v>
                </c:pt>
                <c:pt idx="2">
                  <c:v>0.4</c:v>
                </c:pt>
                <c:pt idx="3">
                  <c:v>0.1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0.4</c:v>
                </c:pt>
                <c:pt idx="10">
                  <c:v>0.1</c:v>
                </c:pt>
                <c:pt idx="11">
                  <c:v>0.3</c:v>
                </c:pt>
                <c:pt idx="12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7958496"/>
        <c:axId val="247959056"/>
      </c:lineChart>
      <c:catAx>
        <c:axId val="247958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7959056"/>
        <c:crosses val="autoZero"/>
        <c:auto val="1"/>
        <c:lblAlgn val="ctr"/>
        <c:lblOffset val="200"/>
        <c:noMultiLvlLbl val="0"/>
      </c:catAx>
      <c:valAx>
        <c:axId val="247959056"/>
        <c:scaling>
          <c:orientation val="minMax"/>
          <c:max val="0.5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7958496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109704753474049E-2"/>
          <c:y val="4.1175038617643281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.67874646865092081"/>
                  <c:y val="-3.1705859701769992E-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0,0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67613862652319257"/>
                  <c:y val="2.286075960572382E-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0,1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66650479067674018"/>
                  <c:y val="-0.10424417858391649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="1"/>
                      <a:t>0,6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26965838297844069"/>
                  <c:y val="1.942080174210938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26970056817143795"/>
                  <c:y val="-0.3178473264197793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27387690227816652"/>
                  <c:y val="-0.3066050554810497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0.27276746491902598"/>
                  <c:y val="9.000367365546423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0.27844353246183823"/>
                  <c:y val="0.457869368352564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0.2767252332226664"/>
                  <c:y val="0.1342539602448513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0.26854894561930021"/>
                  <c:y val="-0.4546037984712281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0.26354817333131819"/>
                  <c:y val="-0.3629412259386632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0.26913455581815193"/>
                  <c:y val="0.1339113808075844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0.22333804456682949"/>
                  <c:y val="0.23509181925615116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-0,1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0.3</c:v>
                </c:pt>
                <c:pt idx="1">
                  <c:v>0.6</c:v>
                </c:pt>
                <c:pt idx="2">
                  <c:v>0.5</c:v>
                </c:pt>
                <c:pt idx="3">
                  <c:v>0.8</c:v>
                </c:pt>
                <c:pt idx="4">
                  <c:v>-0.5</c:v>
                </c:pt>
                <c:pt idx="5">
                  <c:v>-0.5</c:v>
                </c:pt>
                <c:pt idx="6">
                  <c:v>1.6</c:v>
                </c:pt>
                <c:pt idx="7">
                  <c:v>1.2</c:v>
                </c:pt>
                <c:pt idx="8">
                  <c:v>-0.2</c:v>
                </c:pt>
                <c:pt idx="9">
                  <c:v>-0.1</c:v>
                </c:pt>
                <c:pt idx="10">
                  <c:v>0</c:v>
                </c:pt>
                <c:pt idx="11">
                  <c:v>0.1</c:v>
                </c:pt>
                <c:pt idx="12">
                  <c:v>0.6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7961296"/>
        <c:axId val="247961856"/>
      </c:lineChart>
      <c:catAx>
        <c:axId val="247961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7961856"/>
        <c:crosses val="autoZero"/>
        <c:auto val="1"/>
        <c:lblAlgn val="ctr"/>
        <c:lblOffset val="200"/>
        <c:noMultiLvlLbl val="0"/>
      </c:catAx>
      <c:valAx>
        <c:axId val="247961856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796129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C7F257-8933-43F7-9D89-33C311EAA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3415</Words>
  <Characters>1947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ПРОФАЦЬКА Надія Вікторівна</dc:creator>
  <cp:lastModifiedBy>Cin_User_05</cp:lastModifiedBy>
  <cp:revision>12</cp:revision>
  <cp:lastPrinted>2025-11-13T06:06:00Z</cp:lastPrinted>
  <dcterms:created xsi:type="dcterms:W3CDTF">2026-01-12T13:27:00Z</dcterms:created>
  <dcterms:modified xsi:type="dcterms:W3CDTF">2026-01-14T12:46:00Z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